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940AB">
      <w:pPr>
        <w:rPr>
          <w:rFonts w:hint="eastAsia"/>
          <w:color w:val="auto"/>
          <w:sz w:val="21"/>
          <w:szCs w:val="22"/>
        </w:rPr>
      </w:pPr>
    </w:p>
    <w:p w14:paraId="5292B58A">
      <w:pPr>
        <w:rPr>
          <w:rFonts w:hint="eastAsia"/>
          <w:color w:val="auto"/>
        </w:rPr>
      </w:pPr>
    </w:p>
    <w:p w14:paraId="614B4BAB">
      <w:pPr>
        <w:rPr>
          <w:rFonts w:hint="eastAsia"/>
          <w:color w:val="auto"/>
        </w:rPr>
      </w:pPr>
    </w:p>
    <w:p w14:paraId="20A2C57A">
      <w:pPr>
        <w:rPr>
          <w:rFonts w:hint="eastAsia"/>
          <w:color w:val="auto"/>
        </w:rPr>
      </w:pPr>
    </w:p>
    <w:p w14:paraId="1F7E9172">
      <w:pPr>
        <w:rPr>
          <w:rFonts w:hint="eastAsia"/>
          <w:color w:val="auto"/>
        </w:rPr>
      </w:pPr>
    </w:p>
    <w:p w14:paraId="559E77C3">
      <w:pPr>
        <w:rPr>
          <w:rFonts w:hint="eastAsia"/>
          <w:color w:val="auto"/>
        </w:rPr>
      </w:pPr>
    </w:p>
    <w:p w14:paraId="3B655A44">
      <w:pPr>
        <w:rPr>
          <w:rFonts w:hint="eastAsia"/>
          <w:color w:val="auto"/>
        </w:rPr>
      </w:pPr>
    </w:p>
    <w:p w14:paraId="3A44C828">
      <w:pPr>
        <w:rPr>
          <w:rFonts w:hint="eastAsia"/>
          <w:color w:val="auto"/>
        </w:rPr>
      </w:pPr>
    </w:p>
    <w:p w14:paraId="7BBF7E1E">
      <w:pPr>
        <w:rPr>
          <w:rFonts w:hint="eastAsia"/>
          <w:color w:val="auto"/>
        </w:rPr>
      </w:pPr>
    </w:p>
    <w:p w14:paraId="7C56520F">
      <w:pPr>
        <w:spacing w:line="360" w:lineRule="auto"/>
        <w:jc w:val="center"/>
        <w:rPr>
          <w:rFonts w:hint="eastAsia"/>
          <w:color w:val="auto"/>
          <w:sz w:val="16"/>
          <w:szCs w:val="16"/>
        </w:rPr>
      </w:pPr>
    </w:p>
    <w:p w14:paraId="6023708E">
      <w:pPr>
        <w:spacing w:line="720" w:lineRule="auto"/>
        <w:jc w:val="center"/>
        <w:rPr>
          <w:rFonts w:hint="eastAsia" w:ascii="方正小标宋简体" w:hAnsi="方正小标宋简体" w:eastAsia="方正小标宋简体" w:cs="方正小标宋简体"/>
          <w:b/>
          <w:bCs/>
          <w:color w:val="auto"/>
          <w:sz w:val="40"/>
          <w:szCs w:val="40"/>
          <w:lang w:eastAsia="zh-CN"/>
        </w:rPr>
      </w:pPr>
      <w:r>
        <w:rPr>
          <w:rFonts w:hint="eastAsia" w:ascii="方正小标宋简体" w:hAnsi="方正小标宋简体" w:eastAsia="方正小标宋简体" w:cs="方正小标宋简体"/>
          <w:b/>
          <w:bCs/>
          <w:color w:val="auto"/>
          <w:sz w:val="40"/>
          <w:szCs w:val="40"/>
          <w:lang w:val="en-US" w:eastAsia="zh-CN"/>
        </w:rPr>
        <w:t>和田地区</w:t>
      </w:r>
      <w:r>
        <w:rPr>
          <w:rFonts w:hint="eastAsia" w:ascii="方正小标宋简体" w:hAnsi="方正小标宋简体" w:eastAsia="方正小标宋简体" w:cs="方正小标宋简体"/>
          <w:b/>
          <w:bCs/>
          <w:color w:val="auto"/>
          <w:sz w:val="40"/>
          <w:szCs w:val="40"/>
          <w:lang w:eastAsia="zh-CN"/>
        </w:rPr>
        <w:t>墨玉县</w:t>
      </w:r>
    </w:p>
    <w:p w14:paraId="3C908F73">
      <w:pPr>
        <w:spacing w:line="720" w:lineRule="auto"/>
        <w:jc w:val="center"/>
        <w:rPr>
          <w:rFonts w:hint="eastAsia" w:ascii="方正小标宋简体" w:hAnsi="方正小标宋简体" w:eastAsia="方正小标宋简体" w:cs="方正小标宋简体"/>
          <w:b/>
          <w:bCs/>
          <w:color w:val="auto"/>
          <w:sz w:val="40"/>
          <w:szCs w:val="40"/>
        </w:rPr>
      </w:pPr>
      <w:r>
        <w:rPr>
          <w:rFonts w:hint="eastAsia" w:ascii="方正小标宋简体" w:hAnsi="方正小标宋简体" w:eastAsia="方正小标宋简体" w:cs="方正小标宋简体"/>
          <w:b/>
          <w:bCs/>
          <w:color w:val="auto"/>
          <w:sz w:val="40"/>
          <w:szCs w:val="40"/>
          <w:lang w:eastAsia="zh-CN"/>
        </w:rPr>
        <w:t>城乡供水一体化信息工程</w:t>
      </w:r>
      <w:r>
        <w:rPr>
          <w:rFonts w:hint="eastAsia" w:ascii="方正小标宋简体" w:hAnsi="方正小标宋简体" w:eastAsia="方正小标宋简体" w:cs="方正小标宋简体"/>
          <w:b/>
          <w:bCs/>
          <w:color w:val="auto"/>
          <w:sz w:val="40"/>
          <w:szCs w:val="40"/>
        </w:rPr>
        <w:t>特许经营项目</w:t>
      </w:r>
    </w:p>
    <w:p w14:paraId="10DBF80F">
      <w:pPr>
        <w:spacing w:line="720" w:lineRule="auto"/>
        <w:jc w:val="center"/>
        <w:rPr>
          <w:rFonts w:hint="eastAsia"/>
          <w:color w:val="auto"/>
          <w:sz w:val="24"/>
          <w:szCs w:val="24"/>
        </w:rPr>
      </w:pPr>
      <w:r>
        <w:rPr>
          <w:rFonts w:hint="eastAsia" w:ascii="方正小标宋简体" w:hAnsi="方正小标宋简体" w:eastAsia="方正小标宋简体" w:cs="方正小标宋简体"/>
          <w:b/>
          <w:bCs/>
          <w:color w:val="auto"/>
          <w:sz w:val="40"/>
          <w:szCs w:val="40"/>
        </w:rPr>
        <w:t>实施方案</w:t>
      </w:r>
    </w:p>
    <w:p w14:paraId="61C823A6">
      <w:pPr>
        <w:spacing w:line="720" w:lineRule="auto"/>
        <w:jc w:val="center"/>
        <w:rPr>
          <w:rFonts w:hint="eastAsia"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w:t>
      </w:r>
      <w:r>
        <w:rPr>
          <w:rFonts w:hint="eastAsia" w:ascii="方正小标宋简体" w:hAnsi="方正小标宋简体" w:eastAsia="方正小标宋简体" w:cs="方正小标宋简体"/>
          <w:b/>
          <w:bCs/>
          <w:color w:val="auto"/>
          <w:sz w:val="28"/>
          <w:szCs w:val="28"/>
          <w:lang w:val="en-US" w:eastAsia="zh-CN"/>
        </w:rPr>
        <w:t>征求意见稿</w:t>
      </w:r>
      <w:r>
        <w:rPr>
          <w:rFonts w:hint="eastAsia" w:ascii="方正小标宋简体" w:hAnsi="方正小标宋简体" w:eastAsia="方正小标宋简体" w:cs="方正小标宋简体"/>
          <w:b/>
          <w:bCs/>
          <w:color w:val="auto"/>
          <w:sz w:val="28"/>
          <w:szCs w:val="28"/>
        </w:rPr>
        <w:t>）</w:t>
      </w:r>
    </w:p>
    <w:p w14:paraId="560C8D17">
      <w:pPr>
        <w:rPr>
          <w:rFonts w:hint="eastAsia"/>
          <w:color w:val="auto"/>
        </w:rPr>
      </w:pPr>
    </w:p>
    <w:p w14:paraId="3A8D99E0">
      <w:pPr>
        <w:rPr>
          <w:rFonts w:hint="eastAsia"/>
          <w:color w:val="auto"/>
        </w:rPr>
      </w:pPr>
    </w:p>
    <w:p w14:paraId="6554FD24">
      <w:pPr>
        <w:rPr>
          <w:rFonts w:hint="eastAsia"/>
          <w:color w:val="auto"/>
        </w:rPr>
      </w:pPr>
    </w:p>
    <w:p w14:paraId="088034F5">
      <w:pPr>
        <w:rPr>
          <w:rFonts w:hint="eastAsia"/>
          <w:color w:val="auto"/>
        </w:rPr>
      </w:pPr>
    </w:p>
    <w:p w14:paraId="397C5D8A">
      <w:pPr>
        <w:rPr>
          <w:rFonts w:hint="eastAsia"/>
          <w:color w:val="auto"/>
        </w:rPr>
      </w:pPr>
    </w:p>
    <w:p w14:paraId="731D5C5C">
      <w:pPr>
        <w:rPr>
          <w:rFonts w:hint="eastAsia"/>
          <w:color w:val="auto"/>
        </w:rPr>
      </w:pPr>
    </w:p>
    <w:p w14:paraId="486D1E79">
      <w:pPr>
        <w:rPr>
          <w:rFonts w:hint="eastAsia"/>
          <w:color w:val="auto"/>
        </w:rPr>
      </w:pPr>
    </w:p>
    <w:p w14:paraId="1D36D4E9">
      <w:pPr>
        <w:rPr>
          <w:rFonts w:hint="eastAsia"/>
          <w:color w:val="auto"/>
        </w:rPr>
      </w:pPr>
    </w:p>
    <w:p w14:paraId="5B92B706">
      <w:pPr>
        <w:rPr>
          <w:rFonts w:hint="eastAsia"/>
          <w:color w:val="auto"/>
        </w:rPr>
      </w:pPr>
    </w:p>
    <w:p w14:paraId="26844CDB">
      <w:pPr>
        <w:rPr>
          <w:rFonts w:hint="eastAsia"/>
          <w:color w:val="auto"/>
        </w:rPr>
      </w:pPr>
    </w:p>
    <w:p w14:paraId="3C8521B6">
      <w:pPr>
        <w:rPr>
          <w:rFonts w:hint="eastAsia"/>
          <w:color w:val="auto"/>
        </w:rPr>
      </w:pPr>
    </w:p>
    <w:p w14:paraId="5A6B06C7">
      <w:pPr>
        <w:spacing w:line="360" w:lineRule="auto"/>
        <w:jc w:val="center"/>
        <w:rPr>
          <w:rFonts w:hint="eastAsia" w:ascii="方正小标宋简体" w:hAnsi="方正小标宋简体" w:eastAsia="方正小标宋简体" w:cs="方正小标宋简体"/>
          <w:color w:val="auto"/>
          <w:sz w:val="24"/>
          <w:szCs w:val="24"/>
        </w:rPr>
      </w:pPr>
    </w:p>
    <w:p w14:paraId="56EFDAF5">
      <w:pPr>
        <w:spacing w:line="360" w:lineRule="auto"/>
        <w:jc w:val="center"/>
        <w:rPr>
          <w:rFonts w:hint="default"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rPr>
        <w:t>墨玉县</w:t>
      </w:r>
      <w:r>
        <w:rPr>
          <w:rFonts w:hint="eastAsia" w:ascii="方正小标宋简体" w:hAnsi="方正小标宋简体" w:eastAsia="方正小标宋简体" w:cs="方正小标宋简体"/>
          <w:color w:val="auto"/>
          <w:sz w:val="24"/>
          <w:szCs w:val="24"/>
          <w:lang w:val="en-US" w:eastAsia="zh-CN"/>
        </w:rPr>
        <w:t>水利局、住房和城乡建设局</w:t>
      </w:r>
    </w:p>
    <w:p w14:paraId="4AAFBA9A">
      <w:pPr>
        <w:spacing w:line="360" w:lineRule="auto"/>
        <w:jc w:val="center"/>
        <w:rPr>
          <w:rFonts w:hint="eastAsia" w:ascii="黑体" w:hAnsi="黑体" w:eastAsia="黑体"/>
          <w:b/>
          <w:bCs/>
          <w:color w:val="auto"/>
          <w:sz w:val="32"/>
        </w:rPr>
        <w:sectPr>
          <w:footerReference r:id="rId3" w:type="default"/>
          <w:pgSz w:w="11906" w:h="16838"/>
          <w:pgMar w:top="1440" w:right="1800" w:bottom="1440" w:left="1800" w:header="851" w:footer="992" w:gutter="0"/>
          <w:pgNumType w:start="0"/>
          <w:cols w:space="425" w:num="1"/>
          <w:docGrid w:type="lines" w:linePitch="312" w:charSpace="0"/>
        </w:sectPr>
      </w:pPr>
      <w:r>
        <w:rPr>
          <w:rFonts w:hint="eastAsia" w:ascii="方正小标宋简体" w:hAnsi="方正小标宋简体" w:eastAsia="方正小标宋简体" w:cs="方正小标宋简体"/>
          <w:color w:val="auto"/>
          <w:sz w:val="24"/>
          <w:szCs w:val="24"/>
        </w:rPr>
        <w:t>202</w:t>
      </w:r>
      <w:r>
        <w:rPr>
          <w:rFonts w:hint="eastAsia" w:ascii="方正小标宋简体" w:hAnsi="方正小标宋简体" w:eastAsia="方正小标宋简体" w:cs="方正小标宋简体"/>
          <w:color w:val="auto"/>
          <w:sz w:val="24"/>
          <w:szCs w:val="24"/>
          <w:lang w:val="en-US" w:eastAsia="zh-CN"/>
        </w:rPr>
        <w:t>6</w:t>
      </w:r>
      <w:r>
        <w:rPr>
          <w:rFonts w:hint="eastAsia" w:ascii="方正小标宋简体" w:hAnsi="方正小标宋简体" w:eastAsia="方正小标宋简体" w:cs="方正小标宋简体"/>
          <w:color w:val="auto"/>
          <w:sz w:val="24"/>
          <w:szCs w:val="24"/>
        </w:rPr>
        <w:t>年</w:t>
      </w:r>
      <w:r>
        <w:rPr>
          <w:rFonts w:hint="eastAsia" w:ascii="方正小标宋简体" w:hAnsi="方正小标宋简体" w:eastAsia="方正小标宋简体" w:cs="方正小标宋简体"/>
          <w:color w:val="auto"/>
          <w:sz w:val="24"/>
          <w:szCs w:val="24"/>
          <w:lang w:val="en-US" w:eastAsia="zh-CN"/>
        </w:rPr>
        <w:t>4</w:t>
      </w:r>
      <w:r>
        <w:rPr>
          <w:rFonts w:hint="eastAsia" w:ascii="方正小标宋简体" w:hAnsi="方正小标宋简体" w:eastAsia="方正小标宋简体" w:cs="方正小标宋简体"/>
          <w:color w:val="auto"/>
          <w:sz w:val="24"/>
          <w:szCs w:val="24"/>
        </w:rPr>
        <w:t>月</w:t>
      </w:r>
      <w:r>
        <w:rPr>
          <w:color w:val="auto"/>
          <w:sz w:val="21"/>
        </w:rPr>
        <mc:AlternateContent>
          <mc:Choice Requires="wpg">
            <w:drawing>
              <wp:anchor distT="0" distB="0" distL="114300" distR="114300" simplePos="0" relativeHeight="251660288" behindDoc="1" locked="0" layoutInCell="1" allowOverlap="1">
                <wp:simplePos x="0" y="0"/>
                <wp:positionH relativeFrom="column">
                  <wp:posOffset>-1143000</wp:posOffset>
                </wp:positionH>
                <wp:positionV relativeFrom="page">
                  <wp:posOffset>10006330</wp:posOffset>
                </wp:positionV>
                <wp:extent cx="7560310" cy="685165"/>
                <wp:effectExtent l="0" t="0" r="8890" b="635"/>
                <wp:wrapNone/>
                <wp:docPr id="3" name="组合 3"/>
                <wp:cNvGraphicFramePr/>
                <a:graphic xmlns:a="http://schemas.openxmlformats.org/drawingml/2006/main">
                  <a:graphicData uri="http://schemas.microsoft.com/office/word/2010/wordprocessingGroup">
                    <wpg:wgp>
                      <wpg:cNvGrpSpPr/>
                      <wpg:grpSpPr>
                        <a:xfrm>
                          <a:off x="0" y="0"/>
                          <a:ext cx="7560310" cy="685165"/>
                          <a:chOff x="10317" y="16041"/>
                          <a:chExt cx="11906" cy="1079"/>
                        </a:xfrm>
                      </wpg:grpSpPr>
                      <wps:wsp>
                        <wps:cNvPr id="6" name="任意多边形: 形状 5"/>
                        <wps:cNvSpPr/>
                        <wps:spPr>
                          <a:xfrm>
                            <a:off x="11303" y="16476"/>
                            <a:ext cx="10920" cy="645"/>
                          </a:xfrm>
                          <a:custGeom>
                            <a:avLst/>
                            <a:gdLst>
                              <a:gd name="connsiteX0" fmla="*/ 0 w 5048250"/>
                              <a:gd name="connsiteY0" fmla="*/ 414338 h 414337"/>
                              <a:gd name="connsiteX1" fmla="*/ 5048250 w 5048250"/>
                              <a:gd name="connsiteY1" fmla="*/ 414338 h 414337"/>
                              <a:gd name="connsiteX2" fmla="*/ 5048250 w 5048250"/>
                              <a:gd name="connsiteY2" fmla="*/ 290513 h 414337"/>
                              <a:gd name="connsiteX3" fmla="*/ 1366838 w 5048250"/>
                              <a:gd name="connsiteY3" fmla="*/ 290513 h 414337"/>
                              <a:gd name="connsiteX4" fmla="*/ 1132123 w 5048250"/>
                              <a:gd name="connsiteY4" fmla="*/ 55796 h 414337"/>
                              <a:gd name="connsiteX5" fmla="*/ 997420 w 5048250"/>
                              <a:gd name="connsiteY5" fmla="*/ 0 h 414337"/>
                              <a:gd name="connsiteX6" fmla="*/ 0 w 5048250"/>
                              <a:gd name="connsiteY6" fmla="*/ 0 h 414337"/>
                              <a:gd name="connsiteX7" fmla="*/ 0 w 5048250"/>
                              <a:gd name="connsiteY7" fmla="*/ 414338 h 4143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048250" h="414337">
                                <a:moveTo>
                                  <a:pt x="0" y="414338"/>
                                </a:moveTo>
                                <a:lnTo>
                                  <a:pt x="5048250" y="414338"/>
                                </a:lnTo>
                                <a:lnTo>
                                  <a:pt x="5048250" y="290513"/>
                                </a:lnTo>
                                <a:lnTo>
                                  <a:pt x="1366838" y="290513"/>
                                </a:lnTo>
                                <a:lnTo>
                                  <a:pt x="1132123" y="55796"/>
                                </a:lnTo>
                                <a:cubicBezTo>
                                  <a:pt x="1096394" y="20071"/>
                                  <a:pt x="1047940" y="0"/>
                                  <a:pt x="997420" y="0"/>
                                </a:cubicBezTo>
                                <a:lnTo>
                                  <a:pt x="0" y="0"/>
                                </a:lnTo>
                                <a:lnTo>
                                  <a:pt x="0" y="414338"/>
                                </a:lnTo>
                                <a:close/>
                              </a:path>
                            </a:pathLst>
                          </a:custGeom>
                          <a:gradFill>
                            <a:gsLst>
                              <a:gs pos="0">
                                <a:schemeClr val="accent1">
                                  <a:lumMod val="5000"/>
                                  <a:lumOff val="95000"/>
                                  <a:alpha val="36000"/>
                                </a:schemeClr>
                              </a:gs>
                              <a:gs pos="57000">
                                <a:srgbClr val="B2DAD1"/>
                              </a:gs>
                            </a:gsLst>
                            <a:lin ang="10800000" scaled="0"/>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9" name="任意多边形: 形状 8"/>
                        <wps:cNvSpPr/>
                        <wps:spPr>
                          <a:xfrm>
                            <a:off x="10317" y="16041"/>
                            <a:ext cx="2687" cy="1070"/>
                          </a:xfrm>
                          <a:custGeom>
                            <a:avLst/>
                            <a:gdLst>
                              <a:gd name="connsiteX0" fmla="*/ 0 w 1243012"/>
                              <a:gd name="connsiteY0" fmla="*/ 685800 h 685800"/>
                              <a:gd name="connsiteX1" fmla="*/ 1243013 w 1243012"/>
                              <a:gd name="connsiteY1" fmla="*/ 685800 h 685800"/>
                              <a:gd name="connsiteX2" fmla="*/ 631820 w 1243012"/>
                              <a:gd name="connsiteY2" fmla="*/ 70333 h 685800"/>
                              <a:gd name="connsiteX3" fmla="*/ 462854 w 1243012"/>
                              <a:gd name="connsiteY3" fmla="*/ 0 h 685800"/>
                              <a:gd name="connsiteX4" fmla="*/ 0 w 1243012"/>
                              <a:gd name="connsiteY4" fmla="*/ 0 h 685800"/>
                              <a:gd name="connsiteX5" fmla="*/ 0 w 1243012"/>
                              <a:gd name="connsiteY5" fmla="*/ 685800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43012" h="685800">
                                <a:moveTo>
                                  <a:pt x="0" y="685800"/>
                                </a:moveTo>
                                <a:lnTo>
                                  <a:pt x="1243013" y="685800"/>
                                </a:lnTo>
                                <a:lnTo>
                                  <a:pt x="631820" y="70333"/>
                                </a:lnTo>
                                <a:cubicBezTo>
                                  <a:pt x="587115" y="25316"/>
                                  <a:pt x="526296" y="0"/>
                                  <a:pt x="462854" y="0"/>
                                </a:cubicBezTo>
                                <a:lnTo>
                                  <a:pt x="0" y="0"/>
                                </a:lnTo>
                                <a:lnTo>
                                  <a:pt x="0" y="685800"/>
                                </a:lnTo>
                                <a:close/>
                              </a:path>
                            </a:pathLst>
                          </a:custGeom>
                          <a:solidFill>
                            <a:srgbClr val="187B6C"/>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0pt;margin-top:787.9pt;height:53.95pt;width:595.3pt;mso-position-vertical-relative:page;z-index:-251656192;mso-width-relative:page;mso-height-relative:page;" coordorigin="10317,16041" coordsize="11906,1079" o:gfxdata="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">
                <o:lock v:ext="edit" aspectratio="f"/>
                <v:shape id="任意多边形: 形状 5" o:spid="_x0000_s1026" o:spt="100" style="position:absolute;left:11303;top:16476;height:645;width:10920;v-text-anchor:middle;" fillcolor="#F7FAFD [180]" filled="t" stroked="f" coordsize="5048250,414337" o:gfxdata="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75LbsAAADa&#10;AAAADwAAAAAAAAABACAAAAAiAAAAZHJzL2Rvd25yZXYueG1sUEsBAhQAFAAAAAgAh07iQDMvBZ47&#10;AAAAOQAAABAAAAAAAAAAAQAgAAAACgEAAGRycy9zaGFwZXhtbC54bWxQSwUGAAAAAAYABgBbAQAA&#10;tAMAAAAA&#10;" path="m0,414338l5048250,414338,5048250,290513,1366838,290513,1132123,55796c1096394,20071,1047940,0,997420,0l0,0,0,414338xe">
                  <v:path o:connectlocs="0,645;10920,645;10920,452;2956,452;2448,86;2157,0;0,0;0,645" o:connectangles="0,0,0,0,0,0,0,0"/>
                  <v:fill type="gradient" on="t" color2="#B2DAD1" opacity="23592f" angle="270" focus="100%" focussize="0,0" rotate="t">
                    <o:fill type="gradientUnscaled" v:ext="backwardCompatible"/>
                  </v:fill>
                  <v:stroke on="f" joinstyle="miter"/>
                  <v:imagedata o:title=""/>
                  <o:lock v:ext="edit" aspectratio="f"/>
                </v:shape>
                <v:shape id="任意多边形: 形状 8" o:spid="_x0000_s1026" o:spt="100" style="position:absolute;left:10317;top:16041;height:1070;width:2687;v-text-anchor:middle;" fillcolor="#187B6C" filled="t" stroked="f" coordsize="1243012,685800" o:gfxdata="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j1BEy5AAAA2gAA&#10;AA8AAAAAAAAAAQAgAAAAIgAAAGRycy9kb3ducmV2LnhtbFBLAQIUABQAAAAIAIdO4kAzLwWeOwAA&#10;ADkAAAAQAAAAAAAAAAEAIAAAAAgBAABkcnMvc2hhcGV4bWwueG1sUEsFBgAAAAAGAAYAWwEAALID&#10;AAAAAA==&#10;" path="m0,685800l1243013,685800,631820,70333c587115,25316,526296,0,462854,0l0,0,0,685800xe">
                  <v:path o:connectlocs="0,1070;2687,1070;1365,109;1000,0;0,0;0,1070" o:connectangles="0,0,0,0,0,0"/>
                  <v:fill on="t" focussize="0,0"/>
                  <v:stroke on="f" joinstyle="miter"/>
                  <v:imagedata o:title=""/>
                  <o:lock v:ext="edit" aspectratio="f"/>
                </v:shape>
              </v:group>
            </w:pict>
          </mc:Fallback>
        </mc:AlternateContent>
      </w:r>
      <w:r>
        <w:rPr>
          <w:color w:val="auto"/>
          <w:sz w:val="21"/>
        </w:rPr>
        <mc:AlternateContent>
          <mc:Choice Requires="wps">
            <w:drawing>
              <wp:anchor distT="0" distB="0" distL="114300" distR="114300" simplePos="0" relativeHeight="251659264" behindDoc="1" locked="0" layoutInCell="1" allowOverlap="1">
                <wp:simplePos x="0" y="0"/>
                <wp:positionH relativeFrom="column">
                  <wp:posOffset>3322955</wp:posOffset>
                </wp:positionH>
                <wp:positionV relativeFrom="page">
                  <wp:posOffset>9196070</wp:posOffset>
                </wp:positionV>
                <wp:extent cx="2017395" cy="5403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17395" cy="540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微软雅黑" w:hAnsi="微软雅黑" w:eastAsia="微软雅黑" w:cs="微软雅黑"/>
                                <w:sz w:val="28"/>
                                <w:szCs w:val="28"/>
                              </w:rPr>
                              <w:id w:val="147455271"/>
                              <w:showingPlcHdr/>
                              <w:dataBinding w:prefixMappings="xmlns:ns0='http://schemas.microsoft.com/office/2006/coverPageProps' " w:xpath="/ns0:CoverPageProperties[1]/ns0:PublishDate[1]" w:storeItemID="{55AF091B-3C7A-41E3-B477-F2FDAA23CFDA}"/>
                              <w:text/>
                            </w:sdtPr>
                            <w:sdtEndPr>
                              <w:rPr>
                                <w:rFonts w:hint="eastAsia" w:asciiTheme="minorHAnsi" w:hAnsiTheme="minorHAnsi" w:eastAsiaTheme="minorEastAsia" w:cstheme="minorBidi"/>
                                <w:sz w:val="21"/>
                                <w:szCs w:val="22"/>
                              </w:rPr>
                            </w:sdtEndPr>
                            <w:sdtContent>
                              <w:p w14:paraId="0DD27C88">
                                <w:pPr>
                                  <w:rPr>
                                    <w:rFonts w:hint="eastAsia"/>
                                    <w:sz w:val="21"/>
                                    <w:szCs w:val="22"/>
                                  </w:rPr>
                                </w:pPr>
                                <w:r>
                                  <w:rPr>
                                    <w:rFonts w:hint="eastAsia" w:ascii="微软雅黑" w:hAnsi="微软雅黑" w:eastAsia="微软雅黑" w:cs="微软雅黑"/>
                                    <w:sz w:val="28"/>
                                    <w:szCs w:val="28"/>
                                  </w:rPr>
                                  <w:t xml:space="preserve">     </w:t>
                                </w:r>
                              </w:p>
                            </w:sdtContent>
                          </w:sdt>
                          <w:p w14:paraId="5F002899">
                            <w:pPr>
                              <w:rPr>
                                <w:rFonts w:hint="eastAsia"/>
                                <w:sz w:val="21"/>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65pt;margin-top:724.1pt;height:42.55pt;width:158.85pt;mso-position-vertical-relative:page;z-index:-251657216;mso-width-relative:page;mso-height-relative:page;" filled="f" stroked="f" coordsize="21600,21600" o:gfxdata="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SZ43NoAAAANAQAADwAAAAAAAAABACAAAAAiAAAAZHJz&#10;L2Rvd25yZXYueG1sUEsBAhQAFAAAAAgAh07iQK3i/qI7AgAAZgQAAA4AAAAAAAAAAQAgAAAAKQEA&#10;AGRycy9lMm9Eb2MueG1sUEsFBgAAAAAGAAYAWQEAANYFAAAAAA==&#10;">
                <v:fill on="f" focussize="0,0"/>
                <v:stroke on="f" weight="0.5pt"/>
                <v:imagedata o:title=""/>
                <o:lock v:ext="edit" aspectratio="f"/>
                <v:textbox>
                  <w:txbxContent>
                    <w:sdt>
                      <w:sdtPr>
                        <w:rPr>
                          <w:rFonts w:hint="eastAsia" w:ascii="微软雅黑" w:hAnsi="微软雅黑" w:eastAsia="微软雅黑" w:cs="微软雅黑"/>
                          <w:sz w:val="28"/>
                          <w:szCs w:val="28"/>
                        </w:rPr>
                        <w:id w:val="147455271"/>
                        <w:showingPlcHdr/>
                        <w:dataBinding w:prefixMappings="xmlns:ns0='http://schemas.microsoft.com/office/2006/coverPageProps' " w:xpath="/ns0:CoverPageProperties[1]/ns0:PublishDate[1]" w:storeItemID="{55AF091B-3C7A-41E3-B477-F2FDAA23CFDA}"/>
                        <w:text/>
                      </w:sdtPr>
                      <w:sdtEndPr>
                        <w:rPr>
                          <w:rFonts w:hint="eastAsia" w:asciiTheme="minorHAnsi" w:hAnsiTheme="minorHAnsi" w:eastAsiaTheme="minorEastAsia" w:cstheme="minorBidi"/>
                          <w:sz w:val="21"/>
                          <w:szCs w:val="22"/>
                        </w:rPr>
                      </w:sdtEndPr>
                      <w:sdtContent>
                        <w:p w14:paraId="0DD27C88">
                          <w:pPr>
                            <w:rPr>
                              <w:rFonts w:hint="eastAsia"/>
                              <w:sz w:val="21"/>
                              <w:szCs w:val="22"/>
                            </w:rPr>
                          </w:pPr>
                          <w:r>
                            <w:rPr>
                              <w:rFonts w:hint="eastAsia" w:ascii="微软雅黑" w:hAnsi="微软雅黑" w:eastAsia="微软雅黑" w:cs="微软雅黑"/>
                              <w:sz w:val="28"/>
                              <w:szCs w:val="28"/>
                            </w:rPr>
                            <w:t xml:space="preserve">     </w:t>
                          </w:r>
                        </w:p>
                      </w:sdtContent>
                    </w:sdt>
                    <w:p w14:paraId="5F002899">
                      <w:pPr>
                        <w:rPr>
                          <w:rFonts w:hint="eastAsia"/>
                          <w:sz w:val="21"/>
                          <w:szCs w:val="22"/>
                        </w:rPr>
                      </w:pPr>
                    </w:p>
                  </w:txbxContent>
                </v:textbox>
              </v:shape>
            </w:pict>
          </mc:Fallback>
        </mc:AlternateContent>
      </w:r>
    </w:p>
    <w:sdt>
      <w:sdtPr>
        <w:rPr>
          <w:color w:val="auto"/>
          <w:lang w:val="zh-CN"/>
        </w:rPr>
        <w:id w:val="-1706705883"/>
        <w:docPartObj>
          <w:docPartGallery w:val="Table of Contents"/>
          <w:docPartUnique/>
        </w:docPartObj>
      </w:sdtPr>
      <w:sdtEndPr>
        <w:rPr>
          <w:rFonts w:asciiTheme="minorHAnsi" w:hAnsiTheme="minorHAnsi" w:eastAsiaTheme="minorEastAsia" w:cstheme="minorBidi"/>
          <w:b/>
          <w:bCs/>
          <w:color w:val="auto"/>
          <w:kern w:val="2"/>
          <w:sz w:val="20"/>
          <w:szCs w:val="20"/>
          <w:lang w:val="zh-CN"/>
        </w:rPr>
      </w:sdtEndPr>
      <w:sdtContent>
        <w:p w14:paraId="4994EE48">
          <w:pPr>
            <w:pStyle w:val="16"/>
            <w:rPr>
              <w:rFonts w:hint="eastAsia"/>
              <w:color w:val="auto"/>
            </w:rPr>
          </w:pPr>
          <w:r>
            <w:rPr>
              <w:color w:val="auto"/>
              <w:lang w:val="zh-CN"/>
            </w:rPr>
            <w:t>目录</w:t>
          </w:r>
        </w:p>
        <w:p w14:paraId="7DDD1738">
          <w:pPr>
            <w:pStyle w:val="9"/>
            <w:tabs>
              <w:tab w:val="right" w:leader="dot" w:pos="8306"/>
            </w:tabs>
          </w:pPr>
          <w:r>
            <w:rPr>
              <w:color w:val="auto"/>
            </w:rPr>
            <w:fldChar w:fldCharType="begin"/>
          </w:r>
          <w:r>
            <w:rPr>
              <w:color w:val="auto"/>
            </w:rPr>
            <w:instrText xml:space="preserve"> TOC \o "1-3" \h \z \u </w:instrText>
          </w:r>
          <w:r>
            <w:rPr>
              <w:rFonts w:hint="eastAsia"/>
              <w:color w:val="auto"/>
            </w:rPr>
            <w:fldChar w:fldCharType="separate"/>
          </w:r>
          <w:r>
            <w:rPr>
              <w:rFonts w:hint="eastAsia"/>
              <w:color w:val="auto"/>
            </w:rPr>
            <w:fldChar w:fldCharType="begin"/>
          </w:r>
          <w:r>
            <w:rPr>
              <w:rFonts w:hint="eastAsia"/>
            </w:rPr>
            <w:instrText xml:space="preserve"> HYPERLINK \l _Toc24317 </w:instrText>
          </w:r>
          <w:r>
            <w:rPr>
              <w:rFonts w:hint="eastAsia"/>
            </w:rPr>
            <w:fldChar w:fldCharType="separate"/>
          </w:r>
          <w:r>
            <w:rPr>
              <w:rFonts w:hint="eastAsia"/>
            </w:rPr>
            <w:t>一、项目概况</w:t>
          </w:r>
          <w:r>
            <w:tab/>
          </w:r>
          <w:r>
            <w:fldChar w:fldCharType="begin"/>
          </w:r>
          <w:r>
            <w:instrText xml:space="preserve"> PAGEREF _Toc24317 \h </w:instrText>
          </w:r>
          <w:r>
            <w:fldChar w:fldCharType="separate"/>
          </w:r>
          <w:r>
            <w:t>1</w:t>
          </w:r>
          <w:r>
            <w:fldChar w:fldCharType="end"/>
          </w:r>
          <w:r>
            <w:rPr>
              <w:rFonts w:hint="eastAsia"/>
              <w:color w:val="auto"/>
            </w:rPr>
            <w:fldChar w:fldCharType="end"/>
          </w:r>
        </w:p>
        <w:p w14:paraId="04F4066D">
          <w:pPr>
            <w:pStyle w:val="5"/>
            <w:tabs>
              <w:tab w:val="right" w:leader="dot" w:pos="8306"/>
            </w:tabs>
          </w:pPr>
          <w:r>
            <w:rPr>
              <w:bCs/>
              <w:color w:val="auto"/>
              <w:lang w:val="zh-CN"/>
            </w:rPr>
            <w:fldChar w:fldCharType="begin"/>
          </w:r>
          <w:r>
            <w:rPr>
              <w:bCs/>
              <w:lang w:val="zh-CN"/>
            </w:rPr>
            <w:instrText xml:space="preserve"> HYPERLINK \l _Toc30339 </w:instrText>
          </w:r>
          <w:r>
            <w:rPr>
              <w:bCs/>
              <w:lang w:val="zh-CN"/>
            </w:rPr>
            <w:fldChar w:fldCharType="separate"/>
          </w:r>
          <w:r>
            <w:rPr>
              <w:rFonts w:hint="eastAsia"/>
            </w:rPr>
            <w:t>（一）项目名称</w:t>
          </w:r>
          <w:r>
            <w:tab/>
          </w:r>
          <w:r>
            <w:fldChar w:fldCharType="begin"/>
          </w:r>
          <w:r>
            <w:instrText xml:space="preserve"> PAGEREF _Toc30339 \h </w:instrText>
          </w:r>
          <w:r>
            <w:fldChar w:fldCharType="separate"/>
          </w:r>
          <w:r>
            <w:t>1</w:t>
          </w:r>
          <w:r>
            <w:fldChar w:fldCharType="end"/>
          </w:r>
          <w:r>
            <w:rPr>
              <w:bCs/>
              <w:color w:val="auto"/>
              <w:lang w:val="zh-CN"/>
            </w:rPr>
            <w:fldChar w:fldCharType="end"/>
          </w:r>
        </w:p>
        <w:p w14:paraId="79875D42">
          <w:pPr>
            <w:pStyle w:val="5"/>
            <w:tabs>
              <w:tab w:val="right" w:leader="dot" w:pos="8306"/>
            </w:tabs>
          </w:pPr>
          <w:r>
            <w:rPr>
              <w:bCs/>
              <w:color w:val="auto"/>
              <w:lang w:val="zh-CN"/>
            </w:rPr>
            <w:fldChar w:fldCharType="begin"/>
          </w:r>
          <w:r>
            <w:rPr>
              <w:bCs/>
              <w:lang w:val="zh-CN"/>
            </w:rPr>
            <w:instrText xml:space="preserve"> HYPERLINK \l _Toc24101 </w:instrText>
          </w:r>
          <w:r>
            <w:rPr>
              <w:bCs/>
              <w:lang w:val="zh-CN"/>
            </w:rPr>
            <w:fldChar w:fldCharType="separate"/>
          </w:r>
          <w:r>
            <w:rPr>
              <w:rFonts w:hint="eastAsia"/>
            </w:rPr>
            <w:t>（二）实施机构</w:t>
          </w:r>
          <w:r>
            <w:tab/>
          </w:r>
          <w:r>
            <w:fldChar w:fldCharType="begin"/>
          </w:r>
          <w:r>
            <w:instrText xml:space="preserve"> PAGEREF _Toc24101 \h </w:instrText>
          </w:r>
          <w:r>
            <w:fldChar w:fldCharType="separate"/>
          </w:r>
          <w:r>
            <w:t>1</w:t>
          </w:r>
          <w:r>
            <w:fldChar w:fldCharType="end"/>
          </w:r>
          <w:r>
            <w:rPr>
              <w:bCs/>
              <w:color w:val="auto"/>
              <w:lang w:val="zh-CN"/>
            </w:rPr>
            <w:fldChar w:fldCharType="end"/>
          </w:r>
        </w:p>
        <w:p w14:paraId="375A100D">
          <w:pPr>
            <w:pStyle w:val="5"/>
            <w:tabs>
              <w:tab w:val="right" w:leader="dot" w:pos="8306"/>
            </w:tabs>
          </w:pPr>
          <w:r>
            <w:rPr>
              <w:bCs/>
              <w:color w:val="auto"/>
              <w:lang w:val="zh-CN"/>
            </w:rPr>
            <w:fldChar w:fldCharType="begin"/>
          </w:r>
          <w:r>
            <w:rPr>
              <w:bCs/>
              <w:lang w:val="zh-CN"/>
            </w:rPr>
            <w:instrText xml:space="preserve"> HYPERLINK \l _Toc21136 </w:instrText>
          </w:r>
          <w:r>
            <w:rPr>
              <w:bCs/>
              <w:lang w:val="zh-CN"/>
            </w:rPr>
            <w:fldChar w:fldCharType="separate"/>
          </w:r>
          <w:r>
            <w:rPr>
              <w:rFonts w:hint="eastAsia"/>
            </w:rPr>
            <w:t>（三）</w:t>
          </w:r>
          <w:r>
            <w:t>特许经营模式</w:t>
          </w:r>
          <w:r>
            <w:tab/>
          </w:r>
          <w:r>
            <w:fldChar w:fldCharType="begin"/>
          </w:r>
          <w:r>
            <w:instrText xml:space="preserve"> PAGEREF _Toc21136 \h </w:instrText>
          </w:r>
          <w:r>
            <w:fldChar w:fldCharType="separate"/>
          </w:r>
          <w:r>
            <w:t>1</w:t>
          </w:r>
          <w:r>
            <w:fldChar w:fldCharType="end"/>
          </w:r>
          <w:r>
            <w:rPr>
              <w:bCs/>
              <w:color w:val="auto"/>
              <w:lang w:val="zh-CN"/>
            </w:rPr>
            <w:fldChar w:fldCharType="end"/>
          </w:r>
        </w:p>
        <w:p w14:paraId="2B2580C0">
          <w:pPr>
            <w:pStyle w:val="5"/>
            <w:tabs>
              <w:tab w:val="right" w:leader="dot" w:pos="8306"/>
            </w:tabs>
          </w:pPr>
          <w:r>
            <w:rPr>
              <w:bCs/>
              <w:color w:val="auto"/>
              <w:lang w:val="zh-CN"/>
            </w:rPr>
            <w:fldChar w:fldCharType="begin"/>
          </w:r>
          <w:r>
            <w:rPr>
              <w:bCs/>
              <w:lang w:val="zh-CN"/>
            </w:rPr>
            <w:instrText xml:space="preserve"> HYPERLINK \l _Toc4489 </w:instrText>
          </w:r>
          <w:r>
            <w:rPr>
              <w:bCs/>
              <w:lang w:val="zh-CN"/>
            </w:rPr>
            <w:fldChar w:fldCharType="separate"/>
          </w:r>
          <w:r>
            <w:rPr>
              <w:rFonts w:hint="eastAsia"/>
            </w:rPr>
            <w:t>（四）特许经营区域</w:t>
          </w:r>
          <w:r>
            <w:tab/>
          </w:r>
          <w:r>
            <w:fldChar w:fldCharType="begin"/>
          </w:r>
          <w:r>
            <w:instrText xml:space="preserve"> PAGEREF _Toc4489 \h </w:instrText>
          </w:r>
          <w:r>
            <w:fldChar w:fldCharType="separate"/>
          </w:r>
          <w:r>
            <w:t>2</w:t>
          </w:r>
          <w:r>
            <w:fldChar w:fldCharType="end"/>
          </w:r>
          <w:r>
            <w:rPr>
              <w:bCs/>
              <w:color w:val="auto"/>
              <w:lang w:val="zh-CN"/>
            </w:rPr>
            <w:fldChar w:fldCharType="end"/>
          </w:r>
        </w:p>
        <w:p w14:paraId="03082367">
          <w:pPr>
            <w:pStyle w:val="5"/>
            <w:tabs>
              <w:tab w:val="right" w:leader="dot" w:pos="8306"/>
            </w:tabs>
          </w:pPr>
          <w:r>
            <w:rPr>
              <w:bCs/>
              <w:color w:val="auto"/>
              <w:lang w:val="zh-CN"/>
            </w:rPr>
            <w:fldChar w:fldCharType="begin"/>
          </w:r>
          <w:r>
            <w:rPr>
              <w:bCs/>
              <w:lang w:val="zh-CN"/>
            </w:rPr>
            <w:instrText xml:space="preserve"> HYPERLINK \l _Toc25950 </w:instrText>
          </w:r>
          <w:r>
            <w:rPr>
              <w:bCs/>
              <w:lang w:val="zh-CN"/>
            </w:rPr>
            <w:fldChar w:fldCharType="separate"/>
          </w:r>
          <w:r>
            <w:rPr>
              <w:rFonts w:hint="eastAsia"/>
            </w:rPr>
            <w:t>（五）特许经营权范围</w:t>
          </w:r>
          <w:r>
            <w:tab/>
          </w:r>
          <w:r>
            <w:fldChar w:fldCharType="begin"/>
          </w:r>
          <w:r>
            <w:instrText xml:space="preserve"> PAGEREF _Toc25950 \h </w:instrText>
          </w:r>
          <w:r>
            <w:fldChar w:fldCharType="separate"/>
          </w:r>
          <w:r>
            <w:t>2</w:t>
          </w:r>
          <w:r>
            <w:fldChar w:fldCharType="end"/>
          </w:r>
          <w:r>
            <w:rPr>
              <w:bCs/>
              <w:color w:val="auto"/>
              <w:lang w:val="zh-CN"/>
            </w:rPr>
            <w:fldChar w:fldCharType="end"/>
          </w:r>
        </w:p>
        <w:p w14:paraId="2D84E943">
          <w:pPr>
            <w:pStyle w:val="5"/>
            <w:tabs>
              <w:tab w:val="right" w:leader="dot" w:pos="8306"/>
            </w:tabs>
          </w:pPr>
          <w:r>
            <w:rPr>
              <w:bCs/>
              <w:color w:val="auto"/>
              <w:lang w:val="zh-CN"/>
            </w:rPr>
            <w:fldChar w:fldCharType="begin"/>
          </w:r>
          <w:r>
            <w:rPr>
              <w:bCs/>
              <w:lang w:val="zh-CN"/>
            </w:rPr>
            <w:instrText xml:space="preserve"> HYPERLINK \l _Toc18254 </w:instrText>
          </w:r>
          <w:r>
            <w:rPr>
              <w:bCs/>
              <w:lang w:val="zh-CN"/>
            </w:rPr>
            <w:fldChar w:fldCharType="separate"/>
          </w:r>
          <w:r>
            <w:rPr>
              <w:rFonts w:hint="eastAsia"/>
            </w:rPr>
            <w:t>（六）特许经营权期限</w:t>
          </w:r>
          <w:r>
            <w:tab/>
          </w:r>
          <w:r>
            <w:fldChar w:fldCharType="begin"/>
          </w:r>
          <w:r>
            <w:instrText xml:space="preserve"> PAGEREF _Toc18254 \h </w:instrText>
          </w:r>
          <w:r>
            <w:fldChar w:fldCharType="separate"/>
          </w:r>
          <w:r>
            <w:t>2</w:t>
          </w:r>
          <w:r>
            <w:fldChar w:fldCharType="end"/>
          </w:r>
          <w:r>
            <w:rPr>
              <w:bCs/>
              <w:color w:val="auto"/>
              <w:lang w:val="zh-CN"/>
            </w:rPr>
            <w:fldChar w:fldCharType="end"/>
          </w:r>
        </w:p>
        <w:p w14:paraId="2217008B">
          <w:pPr>
            <w:pStyle w:val="9"/>
            <w:tabs>
              <w:tab w:val="right" w:leader="dot" w:pos="8306"/>
            </w:tabs>
          </w:pPr>
          <w:r>
            <w:rPr>
              <w:bCs/>
              <w:color w:val="auto"/>
              <w:lang w:val="zh-CN"/>
            </w:rPr>
            <w:fldChar w:fldCharType="begin"/>
          </w:r>
          <w:r>
            <w:rPr>
              <w:bCs/>
              <w:lang w:val="zh-CN"/>
            </w:rPr>
            <w:instrText xml:space="preserve"> HYPERLINK \l _Toc6688 </w:instrText>
          </w:r>
          <w:r>
            <w:rPr>
              <w:bCs/>
              <w:lang w:val="zh-CN"/>
            </w:rPr>
            <w:fldChar w:fldCharType="separate"/>
          </w:r>
          <w:r>
            <w:rPr>
              <w:rFonts w:hint="eastAsia"/>
            </w:rPr>
            <w:t>二、主要政策依据</w:t>
          </w:r>
          <w:r>
            <w:tab/>
          </w:r>
          <w:r>
            <w:fldChar w:fldCharType="begin"/>
          </w:r>
          <w:r>
            <w:instrText xml:space="preserve"> PAGEREF _Toc6688 \h </w:instrText>
          </w:r>
          <w:r>
            <w:fldChar w:fldCharType="separate"/>
          </w:r>
          <w:r>
            <w:t>2</w:t>
          </w:r>
          <w:r>
            <w:fldChar w:fldCharType="end"/>
          </w:r>
          <w:r>
            <w:rPr>
              <w:bCs/>
              <w:color w:val="auto"/>
              <w:lang w:val="zh-CN"/>
            </w:rPr>
            <w:fldChar w:fldCharType="end"/>
          </w:r>
        </w:p>
        <w:p w14:paraId="100C0551">
          <w:pPr>
            <w:pStyle w:val="5"/>
            <w:tabs>
              <w:tab w:val="right" w:leader="dot" w:pos="8306"/>
            </w:tabs>
          </w:pPr>
          <w:r>
            <w:rPr>
              <w:bCs/>
              <w:color w:val="auto"/>
              <w:lang w:val="zh-CN"/>
            </w:rPr>
            <w:fldChar w:fldCharType="begin"/>
          </w:r>
          <w:r>
            <w:rPr>
              <w:bCs/>
              <w:lang w:val="zh-CN"/>
            </w:rPr>
            <w:instrText xml:space="preserve"> HYPERLINK \l _Toc17653 </w:instrText>
          </w:r>
          <w:r>
            <w:rPr>
              <w:bCs/>
              <w:lang w:val="zh-CN"/>
            </w:rPr>
            <w:fldChar w:fldCharType="separate"/>
          </w:r>
          <w:r>
            <w:rPr>
              <w:rFonts w:hint="eastAsia"/>
            </w:rPr>
            <w:t>（一）国家层面</w:t>
          </w:r>
          <w:r>
            <w:tab/>
          </w:r>
          <w:r>
            <w:fldChar w:fldCharType="begin"/>
          </w:r>
          <w:r>
            <w:instrText xml:space="preserve"> PAGEREF _Toc17653 \h </w:instrText>
          </w:r>
          <w:r>
            <w:fldChar w:fldCharType="separate"/>
          </w:r>
          <w:r>
            <w:t>2</w:t>
          </w:r>
          <w:r>
            <w:fldChar w:fldCharType="end"/>
          </w:r>
          <w:r>
            <w:rPr>
              <w:bCs/>
              <w:color w:val="auto"/>
              <w:lang w:val="zh-CN"/>
            </w:rPr>
            <w:fldChar w:fldCharType="end"/>
          </w:r>
        </w:p>
        <w:p w14:paraId="595DA19C">
          <w:pPr>
            <w:pStyle w:val="5"/>
            <w:tabs>
              <w:tab w:val="right" w:leader="dot" w:pos="8306"/>
            </w:tabs>
          </w:pPr>
          <w:r>
            <w:rPr>
              <w:bCs/>
              <w:color w:val="auto"/>
              <w:lang w:val="zh-CN"/>
            </w:rPr>
            <w:fldChar w:fldCharType="begin"/>
          </w:r>
          <w:r>
            <w:rPr>
              <w:bCs/>
              <w:lang w:val="zh-CN"/>
            </w:rPr>
            <w:instrText xml:space="preserve"> HYPERLINK \l _Toc29445 </w:instrText>
          </w:r>
          <w:r>
            <w:rPr>
              <w:bCs/>
              <w:lang w:val="zh-CN"/>
            </w:rPr>
            <w:fldChar w:fldCharType="separate"/>
          </w:r>
          <w:r>
            <w:rPr>
              <w:rFonts w:hint="eastAsia"/>
            </w:rPr>
            <w:t>（二）新疆维吾尔自治区层面</w:t>
          </w:r>
          <w:r>
            <w:tab/>
          </w:r>
          <w:r>
            <w:fldChar w:fldCharType="begin"/>
          </w:r>
          <w:r>
            <w:instrText xml:space="preserve"> PAGEREF _Toc29445 \h </w:instrText>
          </w:r>
          <w:r>
            <w:fldChar w:fldCharType="separate"/>
          </w:r>
          <w:r>
            <w:t>3</w:t>
          </w:r>
          <w:r>
            <w:fldChar w:fldCharType="end"/>
          </w:r>
          <w:r>
            <w:rPr>
              <w:bCs/>
              <w:color w:val="auto"/>
              <w:lang w:val="zh-CN"/>
            </w:rPr>
            <w:fldChar w:fldCharType="end"/>
          </w:r>
        </w:p>
        <w:p w14:paraId="45B77AD8">
          <w:pPr>
            <w:pStyle w:val="9"/>
            <w:tabs>
              <w:tab w:val="right" w:leader="dot" w:pos="8306"/>
            </w:tabs>
          </w:pPr>
          <w:r>
            <w:rPr>
              <w:bCs/>
              <w:color w:val="auto"/>
              <w:lang w:val="zh-CN"/>
            </w:rPr>
            <w:fldChar w:fldCharType="begin"/>
          </w:r>
          <w:r>
            <w:rPr>
              <w:bCs/>
              <w:lang w:val="zh-CN"/>
            </w:rPr>
            <w:instrText xml:space="preserve"> HYPERLINK \l _Toc21467 </w:instrText>
          </w:r>
          <w:r>
            <w:rPr>
              <w:bCs/>
              <w:lang w:val="zh-CN"/>
            </w:rPr>
            <w:fldChar w:fldCharType="separate"/>
          </w:r>
          <w:r>
            <w:rPr>
              <w:rFonts w:hint="eastAsia"/>
            </w:rPr>
            <w:t>三、项目必要性与可行性分析</w:t>
          </w:r>
          <w:r>
            <w:tab/>
          </w:r>
          <w:r>
            <w:fldChar w:fldCharType="begin"/>
          </w:r>
          <w:r>
            <w:instrText xml:space="preserve"> PAGEREF _Toc21467 \h </w:instrText>
          </w:r>
          <w:r>
            <w:fldChar w:fldCharType="separate"/>
          </w:r>
          <w:r>
            <w:t>3</w:t>
          </w:r>
          <w:r>
            <w:fldChar w:fldCharType="end"/>
          </w:r>
          <w:r>
            <w:rPr>
              <w:bCs/>
              <w:color w:val="auto"/>
              <w:lang w:val="zh-CN"/>
            </w:rPr>
            <w:fldChar w:fldCharType="end"/>
          </w:r>
        </w:p>
        <w:p w14:paraId="5A9AB10D">
          <w:pPr>
            <w:pStyle w:val="5"/>
            <w:tabs>
              <w:tab w:val="right" w:leader="dot" w:pos="8306"/>
            </w:tabs>
          </w:pPr>
          <w:r>
            <w:rPr>
              <w:bCs/>
              <w:color w:val="auto"/>
              <w:lang w:val="zh-CN"/>
            </w:rPr>
            <w:fldChar w:fldCharType="begin"/>
          </w:r>
          <w:r>
            <w:rPr>
              <w:bCs/>
              <w:lang w:val="zh-CN"/>
            </w:rPr>
            <w:instrText xml:space="preserve"> HYPERLINK \l _Toc19511 </w:instrText>
          </w:r>
          <w:r>
            <w:rPr>
              <w:bCs/>
              <w:lang w:val="zh-CN"/>
            </w:rPr>
            <w:fldChar w:fldCharType="separate"/>
          </w:r>
          <w:r>
            <w:rPr>
              <w:rFonts w:hint="eastAsia"/>
            </w:rPr>
            <w:t>（一）项目必要性</w:t>
          </w:r>
          <w:r>
            <w:tab/>
          </w:r>
          <w:r>
            <w:fldChar w:fldCharType="begin"/>
          </w:r>
          <w:r>
            <w:instrText xml:space="preserve"> PAGEREF _Toc19511 \h </w:instrText>
          </w:r>
          <w:r>
            <w:fldChar w:fldCharType="separate"/>
          </w:r>
          <w:r>
            <w:t>3</w:t>
          </w:r>
          <w:r>
            <w:fldChar w:fldCharType="end"/>
          </w:r>
          <w:r>
            <w:rPr>
              <w:bCs/>
              <w:color w:val="auto"/>
              <w:lang w:val="zh-CN"/>
            </w:rPr>
            <w:fldChar w:fldCharType="end"/>
          </w:r>
        </w:p>
        <w:p w14:paraId="24A0BEED">
          <w:pPr>
            <w:pStyle w:val="5"/>
            <w:tabs>
              <w:tab w:val="right" w:leader="dot" w:pos="8306"/>
            </w:tabs>
          </w:pPr>
          <w:r>
            <w:rPr>
              <w:bCs/>
              <w:color w:val="auto"/>
              <w:lang w:val="zh-CN"/>
            </w:rPr>
            <w:fldChar w:fldCharType="begin"/>
          </w:r>
          <w:r>
            <w:rPr>
              <w:bCs/>
              <w:lang w:val="zh-CN"/>
            </w:rPr>
            <w:instrText xml:space="preserve"> HYPERLINK \l _Toc16058 </w:instrText>
          </w:r>
          <w:r>
            <w:rPr>
              <w:bCs/>
              <w:lang w:val="zh-CN"/>
            </w:rPr>
            <w:fldChar w:fldCharType="separate"/>
          </w:r>
          <w:r>
            <w:rPr>
              <w:rFonts w:hint="eastAsia"/>
            </w:rPr>
            <w:t>（二）项目可行性</w:t>
          </w:r>
          <w:r>
            <w:tab/>
          </w:r>
          <w:r>
            <w:fldChar w:fldCharType="begin"/>
          </w:r>
          <w:r>
            <w:instrText xml:space="preserve"> PAGEREF _Toc16058 \h </w:instrText>
          </w:r>
          <w:r>
            <w:fldChar w:fldCharType="separate"/>
          </w:r>
          <w:r>
            <w:t>4</w:t>
          </w:r>
          <w:r>
            <w:fldChar w:fldCharType="end"/>
          </w:r>
          <w:r>
            <w:rPr>
              <w:bCs/>
              <w:color w:val="auto"/>
              <w:lang w:val="zh-CN"/>
            </w:rPr>
            <w:fldChar w:fldCharType="end"/>
          </w:r>
        </w:p>
        <w:p w14:paraId="3E401439">
          <w:pPr>
            <w:pStyle w:val="5"/>
            <w:tabs>
              <w:tab w:val="right" w:leader="dot" w:pos="8306"/>
            </w:tabs>
          </w:pPr>
          <w:r>
            <w:rPr>
              <w:bCs/>
              <w:color w:val="auto"/>
              <w:lang w:val="zh-CN"/>
            </w:rPr>
            <w:fldChar w:fldCharType="begin"/>
          </w:r>
          <w:r>
            <w:rPr>
              <w:bCs/>
              <w:lang w:val="zh-CN"/>
            </w:rPr>
            <w:instrText xml:space="preserve"> HYPERLINK \l _Toc4057 </w:instrText>
          </w:r>
          <w:r>
            <w:rPr>
              <w:bCs/>
              <w:lang w:val="zh-CN"/>
            </w:rPr>
            <w:fldChar w:fldCharType="separate"/>
          </w:r>
          <w:r>
            <w:rPr>
              <w:rFonts w:hint="eastAsia"/>
            </w:rPr>
            <w:t>（三）特许经营模式可行性论证</w:t>
          </w:r>
          <w:r>
            <w:tab/>
          </w:r>
          <w:r>
            <w:fldChar w:fldCharType="begin"/>
          </w:r>
          <w:r>
            <w:instrText xml:space="preserve"> PAGEREF _Toc4057 \h </w:instrText>
          </w:r>
          <w:r>
            <w:fldChar w:fldCharType="separate"/>
          </w:r>
          <w:r>
            <w:t>4</w:t>
          </w:r>
          <w:r>
            <w:fldChar w:fldCharType="end"/>
          </w:r>
          <w:r>
            <w:rPr>
              <w:bCs/>
              <w:color w:val="auto"/>
              <w:lang w:val="zh-CN"/>
            </w:rPr>
            <w:fldChar w:fldCharType="end"/>
          </w:r>
        </w:p>
        <w:p w14:paraId="0376C0EF">
          <w:pPr>
            <w:pStyle w:val="9"/>
            <w:tabs>
              <w:tab w:val="right" w:leader="dot" w:pos="8306"/>
            </w:tabs>
          </w:pPr>
          <w:r>
            <w:rPr>
              <w:bCs/>
              <w:color w:val="auto"/>
              <w:lang w:val="zh-CN"/>
            </w:rPr>
            <w:fldChar w:fldCharType="begin"/>
          </w:r>
          <w:r>
            <w:rPr>
              <w:bCs/>
              <w:lang w:val="zh-CN"/>
            </w:rPr>
            <w:instrText xml:space="preserve"> HYPERLINK \l _Toc12341 </w:instrText>
          </w:r>
          <w:r>
            <w:rPr>
              <w:bCs/>
              <w:lang w:val="zh-CN"/>
            </w:rPr>
            <w:fldChar w:fldCharType="separate"/>
          </w:r>
          <w:r>
            <w:rPr>
              <w:rFonts w:hint="eastAsia"/>
            </w:rPr>
            <w:t>四、</w:t>
          </w:r>
          <w:r>
            <w:rPr>
              <w:rFonts w:hint="eastAsia"/>
              <w:lang w:val="en-US" w:eastAsia="zh-CN"/>
            </w:rPr>
            <w:t>政府与特许经营者的</w:t>
          </w:r>
          <w:r>
            <w:rPr>
              <w:rFonts w:hint="eastAsia"/>
            </w:rPr>
            <w:t>权益划分</w:t>
          </w:r>
          <w:r>
            <w:tab/>
          </w:r>
          <w:r>
            <w:fldChar w:fldCharType="begin"/>
          </w:r>
          <w:r>
            <w:instrText xml:space="preserve"> PAGEREF _Toc12341 \h </w:instrText>
          </w:r>
          <w:r>
            <w:fldChar w:fldCharType="separate"/>
          </w:r>
          <w:r>
            <w:t>5</w:t>
          </w:r>
          <w:r>
            <w:fldChar w:fldCharType="end"/>
          </w:r>
          <w:r>
            <w:rPr>
              <w:bCs/>
              <w:color w:val="auto"/>
              <w:lang w:val="zh-CN"/>
            </w:rPr>
            <w:fldChar w:fldCharType="end"/>
          </w:r>
        </w:p>
        <w:p w14:paraId="13B0F31F">
          <w:pPr>
            <w:pStyle w:val="5"/>
            <w:tabs>
              <w:tab w:val="right" w:leader="dot" w:pos="8306"/>
            </w:tabs>
          </w:pPr>
          <w:r>
            <w:rPr>
              <w:bCs/>
              <w:color w:val="auto"/>
              <w:lang w:val="zh-CN"/>
            </w:rPr>
            <w:fldChar w:fldCharType="begin"/>
          </w:r>
          <w:r>
            <w:rPr>
              <w:bCs/>
              <w:lang w:val="zh-CN"/>
            </w:rPr>
            <w:instrText xml:space="preserve"> HYPERLINK \l _Toc10984 </w:instrText>
          </w:r>
          <w:r>
            <w:rPr>
              <w:bCs/>
              <w:lang w:val="zh-CN"/>
            </w:rPr>
            <w:fldChar w:fldCharType="separate"/>
          </w:r>
          <w:r>
            <w:rPr>
              <w:rFonts w:hint="eastAsia"/>
            </w:rPr>
            <w:t>（</w:t>
          </w:r>
          <w:r>
            <w:rPr>
              <w:rFonts w:hint="eastAsia"/>
              <w:lang w:val="en-US" w:eastAsia="zh-CN"/>
            </w:rPr>
            <w:t>一</w:t>
          </w:r>
          <w:r>
            <w:rPr>
              <w:rFonts w:hint="eastAsia"/>
            </w:rPr>
            <w:t>）</w:t>
          </w:r>
          <w:r>
            <w:rPr>
              <w:rFonts w:hint="eastAsia"/>
              <w:lang w:val="en-US" w:eastAsia="zh-CN"/>
            </w:rPr>
            <w:t>特许经营者</w:t>
          </w:r>
          <w:r>
            <w:rPr>
              <w:rFonts w:hint="eastAsia"/>
            </w:rPr>
            <w:t>的权利（占用权、经营权、收益权）</w:t>
          </w:r>
          <w:r>
            <w:tab/>
          </w:r>
          <w:r>
            <w:fldChar w:fldCharType="begin"/>
          </w:r>
          <w:r>
            <w:instrText xml:space="preserve"> PAGEREF _Toc10984 \h </w:instrText>
          </w:r>
          <w:r>
            <w:fldChar w:fldCharType="separate"/>
          </w:r>
          <w:r>
            <w:t>5</w:t>
          </w:r>
          <w:r>
            <w:fldChar w:fldCharType="end"/>
          </w:r>
          <w:r>
            <w:rPr>
              <w:bCs/>
              <w:color w:val="auto"/>
              <w:lang w:val="zh-CN"/>
            </w:rPr>
            <w:fldChar w:fldCharType="end"/>
          </w:r>
        </w:p>
        <w:p w14:paraId="6D30B019">
          <w:pPr>
            <w:pStyle w:val="5"/>
            <w:tabs>
              <w:tab w:val="right" w:leader="dot" w:pos="8306"/>
            </w:tabs>
          </w:pPr>
          <w:r>
            <w:rPr>
              <w:bCs/>
              <w:color w:val="auto"/>
              <w:lang w:val="zh-CN"/>
            </w:rPr>
            <w:fldChar w:fldCharType="begin"/>
          </w:r>
          <w:r>
            <w:rPr>
              <w:bCs/>
              <w:lang w:val="zh-CN"/>
            </w:rPr>
            <w:instrText xml:space="preserve"> HYPERLINK \l _Toc8879 </w:instrText>
          </w:r>
          <w:r>
            <w:rPr>
              <w:bCs/>
              <w:lang w:val="zh-CN"/>
            </w:rPr>
            <w:fldChar w:fldCharType="separate"/>
          </w:r>
          <w:r>
            <w:rPr>
              <w:rFonts w:hint="eastAsia"/>
            </w:rPr>
            <w:t>（二）政府保留的权利（所有权、监管权、调价权）</w:t>
          </w:r>
          <w:r>
            <w:tab/>
          </w:r>
          <w:r>
            <w:fldChar w:fldCharType="begin"/>
          </w:r>
          <w:r>
            <w:instrText xml:space="preserve"> PAGEREF _Toc8879 \h </w:instrText>
          </w:r>
          <w:r>
            <w:fldChar w:fldCharType="separate"/>
          </w:r>
          <w:r>
            <w:t>6</w:t>
          </w:r>
          <w:r>
            <w:fldChar w:fldCharType="end"/>
          </w:r>
          <w:r>
            <w:rPr>
              <w:bCs/>
              <w:color w:val="auto"/>
              <w:lang w:val="zh-CN"/>
            </w:rPr>
            <w:fldChar w:fldCharType="end"/>
          </w:r>
        </w:p>
        <w:p w14:paraId="59EC62A1">
          <w:pPr>
            <w:pStyle w:val="9"/>
            <w:tabs>
              <w:tab w:val="right" w:leader="dot" w:pos="8306"/>
            </w:tabs>
          </w:pPr>
          <w:r>
            <w:rPr>
              <w:bCs/>
              <w:color w:val="auto"/>
              <w:lang w:val="zh-CN"/>
            </w:rPr>
            <w:fldChar w:fldCharType="begin"/>
          </w:r>
          <w:r>
            <w:rPr>
              <w:bCs/>
              <w:lang w:val="zh-CN"/>
            </w:rPr>
            <w:instrText xml:space="preserve"> HYPERLINK \l _Toc21032 </w:instrText>
          </w:r>
          <w:r>
            <w:rPr>
              <w:bCs/>
              <w:lang w:val="zh-CN"/>
            </w:rPr>
            <w:fldChar w:fldCharType="separate"/>
          </w:r>
          <w:r>
            <w:rPr>
              <w:rFonts w:hint="eastAsia"/>
              <w:lang w:val="en-US" w:eastAsia="zh-CN"/>
            </w:rPr>
            <w:t>五</w:t>
          </w:r>
          <w:r>
            <w:rPr>
              <w:rFonts w:hint="eastAsia"/>
            </w:rPr>
            <w:t>、人员安置方案</w:t>
          </w:r>
          <w:r>
            <w:tab/>
          </w:r>
          <w:r>
            <w:fldChar w:fldCharType="begin"/>
          </w:r>
          <w:r>
            <w:instrText xml:space="preserve"> PAGEREF _Toc21032 \h </w:instrText>
          </w:r>
          <w:r>
            <w:fldChar w:fldCharType="separate"/>
          </w:r>
          <w:r>
            <w:t>6</w:t>
          </w:r>
          <w:r>
            <w:fldChar w:fldCharType="end"/>
          </w:r>
          <w:r>
            <w:rPr>
              <w:bCs/>
              <w:color w:val="auto"/>
              <w:lang w:val="zh-CN"/>
            </w:rPr>
            <w:fldChar w:fldCharType="end"/>
          </w:r>
        </w:p>
        <w:p w14:paraId="168A1802">
          <w:pPr>
            <w:pStyle w:val="5"/>
            <w:tabs>
              <w:tab w:val="right" w:leader="dot" w:pos="8306"/>
            </w:tabs>
          </w:pPr>
          <w:r>
            <w:rPr>
              <w:bCs/>
              <w:color w:val="auto"/>
              <w:lang w:val="zh-CN"/>
            </w:rPr>
            <w:fldChar w:fldCharType="begin"/>
          </w:r>
          <w:r>
            <w:rPr>
              <w:bCs/>
              <w:lang w:val="zh-CN"/>
            </w:rPr>
            <w:instrText xml:space="preserve"> HYPERLINK \l _Toc21507 </w:instrText>
          </w:r>
          <w:r>
            <w:rPr>
              <w:bCs/>
              <w:lang w:val="zh-CN"/>
            </w:rPr>
            <w:fldChar w:fldCharType="separate"/>
          </w:r>
          <w:r>
            <w:rPr>
              <w:rFonts w:hint="eastAsia"/>
            </w:rPr>
            <w:t>（一）安置原则</w:t>
          </w:r>
          <w:r>
            <w:tab/>
          </w:r>
          <w:r>
            <w:fldChar w:fldCharType="begin"/>
          </w:r>
          <w:r>
            <w:instrText xml:space="preserve"> PAGEREF _Toc21507 \h </w:instrText>
          </w:r>
          <w:r>
            <w:fldChar w:fldCharType="separate"/>
          </w:r>
          <w:r>
            <w:t>6</w:t>
          </w:r>
          <w:r>
            <w:fldChar w:fldCharType="end"/>
          </w:r>
          <w:r>
            <w:rPr>
              <w:bCs/>
              <w:color w:val="auto"/>
              <w:lang w:val="zh-CN"/>
            </w:rPr>
            <w:fldChar w:fldCharType="end"/>
          </w:r>
        </w:p>
        <w:p w14:paraId="10DE2D0F">
          <w:pPr>
            <w:pStyle w:val="5"/>
            <w:tabs>
              <w:tab w:val="right" w:leader="dot" w:pos="8306"/>
            </w:tabs>
          </w:pPr>
          <w:r>
            <w:rPr>
              <w:bCs/>
              <w:color w:val="auto"/>
              <w:lang w:val="zh-CN"/>
            </w:rPr>
            <w:fldChar w:fldCharType="begin"/>
          </w:r>
          <w:r>
            <w:rPr>
              <w:bCs/>
              <w:lang w:val="zh-CN"/>
            </w:rPr>
            <w:instrText xml:space="preserve"> HYPERLINK \l _Toc24459 </w:instrText>
          </w:r>
          <w:r>
            <w:rPr>
              <w:bCs/>
              <w:lang w:val="zh-CN"/>
            </w:rPr>
            <w:fldChar w:fldCharType="separate"/>
          </w:r>
          <w:r>
            <w:rPr>
              <w:rFonts w:hint="eastAsia"/>
            </w:rPr>
            <w:t>（二）安置范围</w:t>
          </w:r>
          <w:r>
            <w:tab/>
          </w:r>
          <w:r>
            <w:fldChar w:fldCharType="begin"/>
          </w:r>
          <w:r>
            <w:instrText xml:space="preserve"> PAGEREF _Toc24459 \h </w:instrText>
          </w:r>
          <w:r>
            <w:fldChar w:fldCharType="separate"/>
          </w:r>
          <w:r>
            <w:t>7</w:t>
          </w:r>
          <w:r>
            <w:fldChar w:fldCharType="end"/>
          </w:r>
          <w:r>
            <w:rPr>
              <w:bCs/>
              <w:color w:val="auto"/>
              <w:lang w:val="zh-CN"/>
            </w:rPr>
            <w:fldChar w:fldCharType="end"/>
          </w:r>
        </w:p>
        <w:p w14:paraId="393EB7BE">
          <w:pPr>
            <w:pStyle w:val="5"/>
            <w:tabs>
              <w:tab w:val="right" w:leader="dot" w:pos="8306"/>
            </w:tabs>
          </w:pPr>
          <w:r>
            <w:rPr>
              <w:bCs/>
              <w:color w:val="auto"/>
              <w:lang w:val="zh-CN"/>
            </w:rPr>
            <w:fldChar w:fldCharType="begin"/>
          </w:r>
          <w:r>
            <w:rPr>
              <w:bCs/>
              <w:lang w:val="zh-CN"/>
            </w:rPr>
            <w:instrText xml:space="preserve"> HYPERLINK \l _Toc985 </w:instrText>
          </w:r>
          <w:r>
            <w:rPr>
              <w:bCs/>
              <w:lang w:val="zh-CN"/>
            </w:rPr>
            <w:fldChar w:fldCharType="separate"/>
          </w:r>
          <w:r>
            <w:rPr>
              <w:rFonts w:hint="eastAsia"/>
            </w:rPr>
            <w:t>（三）安置方式</w:t>
          </w:r>
          <w:r>
            <w:tab/>
          </w:r>
          <w:r>
            <w:fldChar w:fldCharType="begin"/>
          </w:r>
          <w:r>
            <w:instrText xml:space="preserve"> PAGEREF _Toc985 \h </w:instrText>
          </w:r>
          <w:r>
            <w:fldChar w:fldCharType="separate"/>
          </w:r>
          <w:r>
            <w:t>7</w:t>
          </w:r>
          <w:r>
            <w:fldChar w:fldCharType="end"/>
          </w:r>
          <w:r>
            <w:rPr>
              <w:bCs/>
              <w:color w:val="auto"/>
              <w:lang w:val="zh-CN"/>
            </w:rPr>
            <w:fldChar w:fldCharType="end"/>
          </w:r>
        </w:p>
        <w:p w14:paraId="34A7C7C5">
          <w:pPr>
            <w:pStyle w:val="5"/>
            <w:tabs>
              <w:tab w:val="right" w:leader="dot" w:pos="8306"/>
            </w:tabs>
          </w:pPr>
          <w:r>
            <w:rPr>
              <w:bCs/>
              <w:color w:val="auto"/>
              <w:lang w:val="zh-CN"/>
            </w:rPr>
            <w:fldChar w:fldCharType="begin"/>
          </w:r>
          <w:r>
            <w:rPr>
              <w:bCs/>
              <w:lang w:val="zh-CN"/>
            </w:rPr>
            <w:instrText xml:space="preserve"> HYPERLINK \l _Toc5038 </w:instrText>
          </w:r>
          <w:r>
            <w:rPr>
              <w:bCs/>
              <w:lang w:val="zh-CN"/>
            </w:rPr>
            <w:fldChar w:fldCharType="separate"/>
          </w:r>
          <w:r>
            <w:rPr>
              <w:rFonts w:hint="eastAsia"/>
            </w:rPr>
            <w:t>（四）社会保障</w:t>
          </w:r>
          <w:r>
            <w:tab/>
          </w:r>
          <w:r>
            <w:fldChar w:fldCharType="begin"/>
          </w:r>
          <w:r>
            <w:instrText xml:space="preserve"> PAGEREF _Toc5038 \h </w:instrText>
          </w:r>
          <w:r>
            <w:fldChar w:fldCharType="separate"/>
          </w:r>
          <w:r>
            <w:t>7</w:t>
          </w:r>
          <w:r>
            <w:fldChar w:fldCharType="end"/>
          </w:r>
          <w:r>
            <w:rPr>
              <w:bCs/>
              <w:color w:val="auto"/>
              <w:lang w:val="zh-CN"/>
            </w:rPr>
            <w:fldChar w:fldCharType="end"/>
          </w:r>
        </w:p>
        <w:p w14:paraId="08842F07">
          <w:pPr>
            <w:pStyle w:val="5"/>
            <w:tabs>
              <w:tab w:val="right" w:leader="dot" w:pos="8306"/>
            </w:tabs>
          </w:pPr>
          <w:r>
            <w:rPr>
              <w:bCs/>
              <w:color w:val="auto"/>
              <w:lang w:val="zh-CN"/>
            </w:rPr>
            <w:fldChar w:fldCharType="begin"/>
          </w:r>
          <w:r>
            <w:rPr>
              <w:bCs/>
              <w:lang w:val="zh-CN"/>
            </w:rPr>
            <w:instrText xml:space="preserve"> HYPERLINK \l _Toc14753 </w:instrText>
          </w:r>
          <w:r>
            <w:rPr>
              <w:bCs/>
              <w:lang w:val="zh-CN"/>
            </w:rPr>
            <w:fldChar w:fldCharType="separate"/>
          </w:r>
          <w:r>
            <w:rPr>
              <w:rFonts w:hint="eastAsia"/>
            </w:rPr>
            <w:t>（五）劳动关系处理</w:t>
          </w:r>
          <w:r>
            <w:tab/>
          </w:r>
          <w:r>
            <w:fldChar w:fldCharType="begin"/>
          </w:r>
          <w:r>
            <w:instrText xml:space="preserve"> PAGEREF _Toc14753 \h </w:instrText>
          </w:r>
          <w:r>
            <w:fldChar w:fldCharType="separate"/>
          </w:r>
          <w:r>
            <w:t>8</w:t>
          </w:r>
          <w:r>
            <w:fldChar w:fldCharType="end"/>
          </w:r>
          <w:r>
            <w:rPr>
              <w:bCs/>
              <w:color w:val="auto"/>
              <w:lang w:val="zh-CN"/>
            </w:rPr>
            <w:fldChar w:fldCharType="end"/>
          </w:r>
        </w:p>
        <w:p w14:paraId="6CC4C40E">
          <w:pPr>
            <w:pStyle w:val="9"/>
            <w:tabs>
              <w:tab w:val="right" w:leader="dot" w:pos="8306"/>
            </w:tabs>
          </w:pPr>
          <w:r>
            <w:rPr>
              <w:bCs/>
              <w:color w:val="auto"/>
              <w:lang w:val="zh-CN"/>
            </w:rPr>
            <w:fldChar w:fldCharType="begin"/>
          </w:r>
          <w:r>
            <w:rPr>
              <w:bCs/>
              <w:lang w:val="zh-CN"/>
            </w:rPr>
            <w:instrText xml:space="preserve"> HYPERLINK \l _Toc9314 </w:instrText>
          </w:r>
          <w:r>
            <w:rPr>
              <w:bCs/>
              <w:lang w:val="zh-CN"/>
            </w:rPr>
            <w:fldChar w:fldCharType="separate"/>
          </w:r>
          <w:r>
            <w:rPr>
              <w:rFonts w:hint="eastAsia"/>
              <w:lang w:val="en-US" w:eastAsia="zh-CN"/>
            </w:rPr>
            <w:t>六</w:t>
          </w:r>
          <w:r>
            <w:rPr>
              <w:rFonts w:hint="eastAsia"/>
            </w:rPr>
            <w:t>、操作流程</w:t>
          </w:r>
          <w:r>
            <w:tab/>
          </w:r>
          <w:r>
            <w:fldChar w:fldCharType="begin"/>
          </w:r>
          <w:r>
            <w:instrText xml:space="preserve"> PAGEREF _Toc9314 \h </w:instrText>
          </w:r>
          <w:r>
            <w:fldChar w:fldCharType="separate"/>
          </w:r>
          <w:r>
            <w:t>8</w:t>
          </w:r>
          <w:r>
            <w:fldChar w:fldCharType="end"/>
          </w:r>
          <w:r>
            <w:rPr>
              <w:bCs/>
              <w:color w:val="auto"/>
              <w:lang w:val="zh-CN"/>
            </w:rPr>
            <w:fldChar w:fldCharType="end"/>
          </w:r>
        </w:p>
        <w:p w14:paraId="08805FD4">
          <w:pPr>
            <w:pStyle w:val="5"/>
            <w:tabs>
              <w:tab w:val="right" w:leader="dot" w:pos="8306"/>
            </w:tabs>
          </w:pPr>
          <w:r>
            <w:rPr>
              <w:bCs/>
              <w:color w:val="auto"/>
              <w:lang w:val="zh-CN"/>
            </w:rPr>
            <w:fldChar w:fldCharType="begin"/>
          </w:r>
          <w:r>
            <w:rPr>
              <w:bCs/>
              <w:lang w:val="zh-CN"/>
            </w:rPr>
            <w:instrText xml:space="preserve"> HYPERLINK \l _Toc30596 </w:instrText>
          </w:r>
          <w:r>
            <w:rPr>
              <w:bCs/>
              <w:lang w:val="zh-CN"/>
            </w:rPr>
            <w:fldChar w:fldCharType="separate"/>
          </w:r>
          <w:r>
            <w:rPr>
              <w:rFonts w:hint="eastAsia"/>
            </w:rPr>
            <w:t>（一）项目立项阶段（第1个月）</w:t>
          </w:r>
          <w:r>
            <w:tab/>
          </w:r>
          <w:r>
            <w:fldChar w:fldCharType="begin"/>
          </w:r>
          <w:r>
            <w:instrText xml:space="preserve"> PAGEREF _Toc30596 \h </w:instrText>
          </w:r>
          <w:r>
            <w:fldChar w:fldCharType="separate"/>
          </w:r>
          <w:r>
            <w:t>8</w:t>
          </w:r>
          <w:r>
            <w:fldChar w:fldCharType="end"/>
          </w:r>
          <w:r>
            <w:rPr>
              <w:bCs/>
              <w:color w:val="auto"/>
              <w:lang w:val="zh-CN"/>
            </w:rPr>
            <w:fldChar w:fldCharType="end"/>
          </w:r>
        </w:p>
        <w:p w14:paraId="43C6B524">
          <w:pPr>
            <w:pStyle w:val="5"/>
            <w:tabs>
              <w:tab w:val="right" w:leader="dot" w:pos="8306"/>
            </w:tabs>
          </w:pPr>
          <w:r>
            <w:rPr>
              <w:bCs/>
              <w:color w:val="auto"/>
              <w:lang w:val="zh-CN"/>
            </w:rPr>
            <w:fldChar w:fldCharType="begin"/>
          </w:r>
          <w:r>
            <w:rPr>
              <w:bCs/>
              <w:lang w:val="zh-CN"/>
            </w:rPr>
            <w:instrText xml:space="preserve"> HYPERLINK \l _Toc2140 </w:instrText>
          </w:r>
          <w:r>
            <w:rPr>
              <w:bCs/>
              <w:lang w:val="zh-CN"/>
            </w:rPr>
            <w:fldChar w:fldCharType="separate"/>
          </w:r>
          <w:r>
            <w:rPr>
              <w:rFonts w:hint="eastAsia"/>
            </w:rPr>
            <w:t>（二）招标准备阶段（第2个月）</w:t>
          </w:r>
          <w:r>
            <w:tab/>
          </w:r>
          <w:r>
            <w:fldChar w:fldCharType="begin"/>
          </w:r>
          <w:r>
            <w:instrText xml:space="preserve"> PAGEREF _Toc2140 \h </w:instrText>
          </w:r>
          <w:r>
            <w:fldChar w:fldCharType="separate"/>
          </w:r>
          <w:r>
            <w:t>8</w:t>
          </w:r>
          <w:r>
            <w:fldChar w:fldCharType="end"/>
          </w:r>
          <w:r>
            <w:rPr>
              <w:bCs/>
              <w:color w:val="auto"/>
              <w:lang w:val="zh-CN"/>
            </w:rPr>
            <w:fldChar w:fldCharType="end"/>
          </w:r>
        </w:p>
        <w:p w14:paraId="6F15595F">
          <w:pPr>
            <w:pStyle w:val="5"/>
            <w:tabs>
              <w:tab w:val="right" w:leader="dot" w:pos="8306"/>
            </w:tabs>
          </w:pPr>
          <w:r>
            <w:rPr>
              <w:bCs/>
              <w:color w:val="auto"/>
              <w:lang w:val="zh-CN"/>
            </w:rPr>
            <w:fldChar w:fldCharType="begin"/>
          </w:r>
          <w:r>
            <w:rPr>
              <w:bCs/>
              <w:lang w:val="zh-CN"/>
            </w:rPr>
            <w:instrText xml:space="preserve"> HYPERLINK \l _Toc10701 </w:instrText>
          </w:r>
          <w:r>
            <w:rPr>
              <w:bCs/>
              <w:lang w:val="zh-CN"/>
            </w:rPr>
            <w:fldChar w:fldCharType="separate"/>
          </w:r>
          <w:r>
            <w:rPr>
              <w:rFonts w:hint="eastAsia"/>
            </w:rPr>
            <w:t>（三）招标采购阶段（第3~5个月）</w:t>
          </w:r>
          <w:r>
            <w:tab/>
          </w:r>
          <w:r>
            <w:fldChar w:fldCharType="begin"/>
          </w:r>
          <w:r>
            <w:instrText xml:space="preserve"> PAGEREF _Toc10701 \h </w:instrText>
          </w:r>
          <w:r>
            <w:fldChar w:fldCharType="separate"/>
          </w:r>
          <w:r>
            <w:t>9</w:t>
          </w:r>
          <w:r>
            <w:fldChar w:fldCharType="end"/>
          </w:r>
          <w:r>
            <w:rPr>
              <w:bCs/>
              <w:color w:val="auto"/>
              <w:lang w:val="zh-CN"/>
            </w:rPr>
            <w:fldChar w:fldCharType="end"/>
          </w:r>
        </w:p>
        <w:p w14:paraId="4EDAC1B0">
          <w:pPr>
            <w:pStyle w:val="5"/>
            <w:tabs>
              <w:tab w:val="right" w:leader="dot" w:pos="8306"/>
            </w:tabs>
          </w:pPr>
          <w:r>
            <w:rPr>
              <w:bCs/>
              <w:color w:val="auto"/>
              <w:lang w:val="zh-CN"/>
            </w:rPr>
            <w:fldChar w:fldCharType="begin"/>
          </w:r>
          <w:r>
            <w:rPr>
              <w:bCs/>
              <w:lang w:val="zh-CN"/>
            </w:rPr>
            <w:instrText xml:space="preserve"> HYPERLINK \l _Toc12669 </w:instrText>
          </w:r>
          <w:r>
            <w:rPr>
              <w:bCs/>
              <w:lang w:val="zh-CN"/>
            </w:rPr>
            <w:fldChar w:fldCharType="separate"/>
          </w:r>
          <w:r>
            <w:rPr>
              <w:rFonts w:hint="eastAsia"/>
            </w:rPr>
            <w:t>（四）合同签订与</w:t>
          </w:r>
          <w:r>
            <w:rPr>
              <w:rFonts w:hint="eastAsia"/>
              <w:lang w:eastAsia="zh-CN"/>
            </w:rPr>
            <w:t>特许经营者</w:t>
          </w:r>
          <w:r>
            <w:rPr>
              <w:rFonts w:hint="eastAsia"/>
            </w:rPr>
            <w:t>设立阶段（第5~6个月）</w:t>
          </w:r>
          <w:r>
            <w:tab/>
          </w:r>
          <w:r>
            <w:fldChar w:fldCharType="begin"/>
          </w:r>
          <w:r>
            <w:instrText xml:space="preserve"> PAGEREF _Toc12669 \h </w:instrText>
          </w:r>
          <w:r>
            <w:fldChar w:fldCharType="separate"/>
          </w:r>
          <w:r>
            <w:t>9</w:t>
          </w:r>
          <w:r>
            <w:fldChar w:fldCharType="end"/>
          </w:r>
          <w:r>
            <w:rPr>
              <w:bCs/>
              <w:color w:val="auto"/>
              <w:lang w:val="zh-CN"/>
            </w:rPr>
            <w:fldChar w:fldCharType="end"/>
          </w:r>
        </w:p>
        <w:p w14:paraId="5B57D796">
          <w:pPr>
            <w:pStyle w:val="5"/>
            <w:tabs>
              <w:tab w:val="right" w:leader="dot" w:pos="8306"/>
            </w:tabs>
          </w:pPr>
          <w:r>
            <w:rPr>
              <w:bCs/>
              <w:color w:val="auto"/>
              <w:lang w:val="zh-CN"/>
            </w:rPr>
            <w:fldChar w:fldCharType="begin"/>
          </w:r>
          <w:r>
            <w:rPr>
              <w:bCs/>
              <w:lang w:val="zh-CN"/>
            </w:rPr>
            <w:instrText xml:space="preserve"> HYPERLINK \l _Toc24210 </w:instrText>
          </w:r>
          <w:r>
            <w:rPr>
              <w:bCs/>
              <w:lang w:val="zh-CN"/>
            </w:rPr>
            <w:fldChar w:fldCharType="separate"/>
          </w:r>
          <w:r>
            <w:rPr>
              <w:rFonts w:hint="eastAsia"/>
            </w:rPr>
            <w:t>（五）经营权移交与管理阶段（第</w:t>
          </w:r>
          <w:r>
            <w:t>6个月起）</w:t>
          </w:r>
          <w:r>
            <w:tab/>
          </w:r>
          <w:r>
            <w:fldChar w:fldCharType="begin"/>
          </w:r>
          <w:r>
            <w:instrText xml:space="preserve"> PAGEREF _Toc24210 \h </w:instrText>
          </w:r>
          <w:r>
            <w:fldChar w:fldCharType="separate"/>
          </w:r>
          <w:r>
            <w:t>10</w:t>
          </w:r>
          <w:r>
            <w:fldChar w:fldCharType="end"/>
          </w:r>
          <w:r>
            <w:rPr>
              <w:bCs/>
              <w:color w:val="auto"/>
              <w:lang w:val="zh-CN"/>
            </w:rPr>
            <w:fldChar w:fldCharType="end"/>
          </w:r>
        </w:p>
        <w:p w14:paraId="6C9EF253">
          <w:pPr>
            <w:pStyle w:val="5"/>
            <w:tabs>
              <w:tab w:val="right" w:leader="dot" w:pos="8306"/>
            </w:tabs>
          </w:pPr>
          <w:r>
            <w:rPr>
              <w:bCs/>
              <w:color w:val="auto"/>
              <w:lang w:val="zh-CN"/>
            </w:rPr>
            <w:fldChar w:fldCharType="begin"/>
          </w:r>
          <w:r>
            <w:rPr>
              <w:bCs/>
              <w:lang w:val="zh-CN"/>
            </w:rPr>
            <w:instrText xml:space="preserve"> HYPERLINK \l _Toc12888 </w:instrText>
          </w:r>
          <w:r>
            <w:rPr>
              <w:bCs/>
              <w:lang w:val="zh-CN"/>
            </w:rPr>
            <w:fldChar w:fldCharType="separate"/>
          </w:r>
          <w:r>
            <w:rPr>
              <w:rFonts w:hint="eastAsia"/>
            </w:rPr>
            <w:t>（六）期满移交归还（第</w:t>
          </w:r>
          <w:r>
            <w:t>30年合同期满前6个月）</w:t>
          </w:r>
          <w:r>
            <w:tab/>
          </w:r>
          <w:r>
            <w:fldChar w:fldCharType="begin"/>
          </w:r>
          <w:r>
            <w:instrText xml:space="preserve"> PAGEREF _Toc12888 \h </w:instrText>
          </w:r>
          <w:r>
            <w:fldChar w:fldCharType="separate"/>
          </w:r>
          <w:r>
            <w:t>10</w:t>
          </w:r>
          <w:r>
            <w:fldChar w:fldCharType="end"/>
          </w:r>
          <w:r>
            <w:rPr>
              <w:bCs/>
              <w:color w:val="auto"/>
              <w:lang w:val="zh-CN"/>
            </w:rPr>
            <w:fldChar w:fldCharType="end"/>
          </w:r>
        </w:p>
        <w:p w14:paraId="57BD747C">
          <w:pPr>
            <w:pStyle w:val="9"/>
            <w:tabs>
              <w:tab w:val="right" w:leader="dot" w:pos="8306"/>
            </w:tabs>
          </w:pPr>
          <w:r>
            <w:rPr>
              <w:bCs/>
              <w:color w:val="auto"/>
              <w:lang w:val="zh-CN"/>
            </w:rPr>
            <w:fldChar w:fldCharType="begin"/>
          </w:r>
          <w:r>
            <w:rPr>
              <w:bCs/>
              <w:lang w:val="zh-CN"/>
            </w:rPr>
            <w:instrText xml:space="preserve"> HYPERLINK \l _Toc28580 </w:instrText>
          </w:r>
          <w:r>
            <w:rPr>
              <w:bCs/>
              <w:lang w:val="zh-CN"/>
            </w:rPr>
            <w:fldChar w:fldCharType="separate"/>
          </w:r>
          <w:r>
            <w:rPr>
              <w:rFonts w:hint="eastAsia"/>
              <w:lang w:val="en-US" w:eastAsia="zh-CN"/>
            </w:rPr>
            <w:t>七</w:t>
          </w:r>
          <w:r>
            <w:rPr>
              <w:rFonts w:hint="eastAsia"/>
            </w:rPr>
            <w:t>、保障措施与全周期监管</w:t>
          </w:r>
          <w:r>
            <w:tab/>
          </w:r>
          <w:r>
            <w:fldChar w:fldCharType="begin"/>
          </w:r>
          <w:r>
            <w:instrText xml:space="preserve"> PAGEREF _Toc28580 \h </w:instrText>
          </w:r>
          <w:r>
            <w:fldChar w:fldCharType="separate"/>
          </w:r>
          <w:r>
            <w:t>10</w:t>
          </w:r>
          <w:r>
            <w:fldChar w:fldCharType="end"/>
          </w:r>
          <w:r>
            <w:rPr>
              <w:bCs/>
              <w:color w:val="auto"/>
              <w:lang w:val="zh-CN"/>
            </w:rPr>
            <w:fldChar w:fldCharType="end"/>
          </w:r>
        </w:p>
        <w:p w14:paraId="6FDEFE98">
          <w:pPr>
            <w:pStyle w:val="5"/>
            <w:tabs>
              <w:tab w:val="right" w:leader="dot" w:pos="8306"/>
            </w:tabs>
          </w:pPr>
          <w:r>
            <w:rPr>
              <w:bCs/>
              <w:color w:val="auto"/>
              <w:lang w:val="zh-CN"/>
            </w:rPr>
            <w:fldChar w:fldCharType="begin"/>
          </w:r>
          <w:r>
            <w:rPr>
              <w:bCs/>
              <w:lang w:val="zh-CN"/>
            </w:rPr>
            <w:instrText xml:space="preserve"> HYPERLINK \l _Toc28890 </w:instrText>
          </w:r>
          <w:r>
            <w:rPr>
              <w:bCs/>
              <w:lang w:val="zh-CN"/>
            </w:rPr>
            <w:fldChar w:fldCharType="separate"/>
          </w:r>
          <w:r>
            <w:rPr>
              <w:rFonts w:hint="eastAsia"/>
            </w:rPr>
            <w:t>（一）组织保障</w:t>
          </w:r>
          <w:r>
            <w:tab/>
          </w:r>
          <w:r>
            <w:fldChar w:fldCharType="begin"/>
          </w:r>
          <w:r>
            <w:instrText xml:space="preserve"> PAGEREF _Toc28890 \h </w:instrText>
          </w:r>
          <w:r>
            <w:fldChar w:fldCharType="separate"/>
          </w:r>
          <w:r>
            <w:t>10</w:t>
          </w:r>
          <w:r>
            <w:fldChar w:fldCharType="end"/>
          </w:r>
          <w:r>
            <w:rPr>
              <w:bCs/>
              <w:color w:val="auto"/>
              <w:lang w:val="zh-CN"/>
            </w:rPr>
            <w:fldChar w:fldCharType="end"/>
          </w:r>
        </w:p>
        <w:p w14:paraId="76C224C9">
          <w:pPr>
            <w:pStyle w:val="5"/>
            <w:tabs>
              <w:tab w:val="right" w:leader="dot" w:pos="8306"/>
            </w:tabs>
          </w:pPr>
          <w:r>
            <w:rPr>
              <w:bCs/>
              <w:color w:val="auto"/>
              <w:lang w:val="zh-CN"/>
            </w:rPr>
            <w:fldChar w:fldCharType="begin"/>
          </w:r>
          <w:r>
            <w:rPr>
              <w:bCs/>
              <w:lang w:val="zh-CN"/>
            </w:rPr>
            <w:instrText xml:space="preserve"> HYPERLINK \l _Toc22804 </w:instrText>
          </w:r>
          <w:r>
            <w:rPr>
              <w:bCs/>
              <w:lang w:val="zh-CN"/>
            </w:rPr>
            <w:fldChar w:fldCharType="separate"/>
          </w:r>
          <w:r>
            <w:rPr>
              <w:rFonts w:hint="eastAsia"/>
            </w:rPr>
            <w:t>（二）制度保障</w:t>
          </w:r>
          <w:r>
            <w:tab/>
          </w:r>
          <w:r>
            <w:fldChar w:fldCharType="begin"/>
          </w:r>
          <w:r>
            <w:instrText xml:space="preserve"> PAGEREF _Toc22804 \h </w:instrText>
          </w:r>
          <w:r>
            <w:fldChar w:fldCharType="separate"/>
          </w:r>
          <w:r>
            <w:t>11</w:t>
          </w:r>
          <w:r>
            <w:fldChar w:fldCharType="end"/>
          </w:r>
          <w:r>
            <w:rPr>
              <w:bCs/>
              <w:color w:val="auto"/>
              <w:lang w:val="zh-CN"/>
            </w:rPr>
            <w:fldChar w:fldCharType="end"/>
          </w:r>
        </w:p>
        <w:p w14:paraId="29FEC7B3">
          <w:pPr>
            <w:pStyle w:val="5"/>
            <w:tabs>
              <w:tab w:val="right" w:leader="dot" w:pos="8306"/>
            </w:tabs>
          </w:pPr>
          <w:r>
            <w:rPr>
              <w:bCs/>
              <w:color w:val="auto"/>
              <w:lang w:val="zh-CN"/>
            </w:rPr>
            <w:fldChar w:fldCharType="begin"/>
          </w:r>
          <w:r>
            <w:rPr>
              <w:bCs/>
              <w:lang w:val="zh-CN"/>
            </w:rPr>
            <w:instrText xml:space="preserve"> HYPERLINK \l _Toc22340 </w:instrText>
          </w:r>
          <w:r>
            <w:rPr>
              <w:bCs/>
              <w:lang w:val="zh-CN"/>
            </w:rPr>
            <w:fldChar w:fldCharType="separate"/>
          </w:r>
          <w:r>
            <w:rPr>
              <w:rFonts w:hint="eastAsia"/>
            </w:rPr>
            <w:t>（三）监督机制</w:t>
          </w:r>
          <w:r>
            <w:tab/>
          </w:r>
          <w:r>
            <w:fldChar w:fldCharType="begin"/>
          </w:r>
          <w:r>
            <w:instrText xml:space="preserve"> PAGEREF _Toc22340 \h </w:instrText>
          </w:r>
          <w:r>
            <w:fldChar w:fldCharType="separate"/>
          </w:r>
          <w:r>
            <w:t>11</w:t>
          </w:r>
          <w:r>
            <w:fldChar w:fldCharType="end"/>
          </w:r>
          <w:r>
            <w:rPr>
              <w:bCs/>
              <w:color w:val="auto"/>
              <w:lang w:val="zh-CN"/>
            </w:rPr>
            <w:fldChar w:fldCharType="end"/>
          </w:r>
        </w:p>
        <w:p w14:paraId="6714AEE7">
          <w:pPr>
            <w:pStyle w:val="5"/>
            <w:tabs>
              <w:tab w:val="right" w:leader="dot" w:pos="8306"/>
            </w:tabs>
          </w:pPr>
          <w:r>
            <w:rPr>
              <w:bCs/>
              <w:color w:val="auto"/>
              <w:lang w:val="zh-CN"/>
            </w:rPr>
            <w:fldChar w:fldCharType="begin"/>
          </w:r>
          <w:r>
            <w:rPr>
              <w:bCs/>
              <w:lang w:val="zh-CN"/>
            </w:rPr>
            <w:instrText xml:space="preserve"> HYPERLINK \l _Toc2254 </w:instrText>
          </w:r>
          <w:r>
            <w:rPr>
              <w:bCs/>
              <w:lang w:val="zh-CN"/>
            </w:rPr>
            <w:fldChar w:fldCharType="separate"/>
          </w:r>
          <w:r>
            <w:rPr>
              <w:rFonts w:hint="eastAsia"/>
            </w:rPr>
            <w:t>（四）风险预警机制</w:t>
          </w:r>
          <w:r>
            <w:tab/>
          </w:r>
          <w:r>
            <w:fldChar w:fldCharType="begin"/>
          </w:r>
          <w:r>
            <w:instrText xml:space="preserve"> PAGEREF _Toc2254 \h </w:instrText>
          </w:r>
          <w:r>
            <w:fldChar w:fldCharType="separate"/>
          </w:r>
          <w:r>
            <w:t>11</w:t>
          </w:r>
          <w:r>
            <w:fldChar w:fldCharType="end"/>
          </w:r>
          <w:r>
            <w:rPr>
              <w:bCs/>
              <w:color w:val="auto"/>
              <w:lang w:val="zh-CN"/>
            </w:rPr>
            <w:fldChar w:fldCharType="end"/>
          </w:r>
        </w:p>
        <w:p w14:paraId="212AD9D2">
          <w:pPr>
            <w:pStyle w:val="5"/>
            <w:tabs>
              <w:tab w:val="right" w:leader="dot" w:pos="8306"/>
            </w:tabs>
          </w:pPr>
          <w:r>
            <w:rPr>
              <w:bCs/>
              <w:color w:val="auto"/>
              <w:lang w:val="zh-CN"/>
            </w:rPr>
            <w:fldChar w:fldCharType="begin"/>
          </w:r>
          <w:r>
            <w:rPr>
              <w:bCs/>
              <w:lang w:val="zh-CN"/>
            </w:rPr>
            <w:instrText xml:space="preserve"> HYPERLINK \l _Toc15825 </w:instrText>
          </w:r>
          <w:r>
            <w:rPr>
              <w:bCs/>
              <w:lang w:val="zh-CN"/>
            </w:rPr>
            <w:fldChar w:fldCharType="separate"/>
          </w:r>
          <w:r>
            <w:rPr>
              <w:rFonts w:hint="eastAsia"/>
            </w:rPr>
            <w:t>（五）风险处置机制</w:t>
          </w:r>
          <w:r>
            <w:tab/>
          </w:r>
          <w:r>
            <w:fldChar w:fldCharType="begin"/>
          </w:r>
          <w:r>
            <w:instrText xml:space="preserve"> PAGEREF _Toc15825 \h </w:instrText>
          </w:r>
          <w:r>
            <w:fldChar w:fldCharType="separate"/>
          </w:r>
          <w:r>
            <w:t>11</w:t>
          </w:r>
          <w:r>
            <w:fldChar w:fldCharType="end"/>
          </w:r>
          <w:r>
            <w:rPr>
              <w:bCs/>
              <w:color w:val="auto"/>
              <w:lang w:val="zh-CN"/>
            </w:rPr>
            <w:fldChar w:fldCharType="end"/>
          </w:r>
        </w:p>
        <w:p w14:paraId="6A8A05E0">
          <w:pPr>
            <w:pStyle w:val="9"/>
            <w:tabs>
              <w:tab w:val="right" w:leader="dot" w:pos="8306"/>
            </w:tabs>
          </w:pPr>
          <w:r>
            <w:rPr>
              <w:bCs/>
              <w:color w:val="auto"/>
              <w:lang w:val="zh-CN"/>
            </w:rPr>
            <w:fldChar w:fldCharType="begin"/>
          </w:r>
          <w:r>
            <w:rPr>
              <w:bCs/>
              <w:lang w:val="zh-CN"/>
            </w:rPr>
            <w:instrText xml:space="preserve"> HYPERLINK \l _Toc6167 </w:instrText>
          </w:r>
          <w:r>
            <w:rPr>
              <w:bCs/>
              <w:lang w:val="zh-CN"/>
            </w:rPr>
            <w:fldChar w:fldCharType="separate"/>
          </w:r>
          <w:r>
            <w:rPr>
              <w:rFonts w:hint="eastAsia"/>
              <w:lang w:val="en-US" w:eastAsia="zh-CN"/>
            </w:rPr>
            <w:t>八</w:t>
          </w:r>
          <w:r>
            <w:rPr>
              <w:rFonts w:hint="eastAsia"/>
            </w:rPr>
            <w:t>、附则</w:t>
          </w:r>
          <w:r>
            <w:tab/>
          </w:r>
          <w:r>
            <w:fldChar w:fldCharType="begin"/>
          </w:r>
          <w:r>
            <w:instrText xml:space="preserve"> PAGEREF _Toc6167 \h </w:instrText>
          </w:r>
          <w:r>
            <w:fldChar w:fldCharType="separate"/>
          </w:r>
          <w:r>
            <w:t>12</w:t>
          </w:r>
          <w:r>
            <w:fldChar w:fldCharType="end"/>
          </w:r>
          <w:r>
            <w:rPr>
              <w:bCs/>
              <w:color w:val="auto"/>
              <w:lang w:val="zh-CN"/>
            </w:rPr>
            <w:fldChar w:fldCharType="end"/>
          </w:r>
        </w:p>
        <w:p w14:paraId="71861B57">
          <w:pPr>
            <w:rPr>
              <w:rFonts w:hint="eastAsia"/>
              <w:color w:val="auto"/>
            </w:rPr>
          </w:pPr>
          <w:r>
            <w:rPr>
              <w:bCs/>
              <w:color w:val="auto"/>
              <w:lang w:val="zh-CN"/>
            </w:rPr>
            <w:fldChar w:fldCharType="end"/>
          </w:r>
        </w:p>
      </w:sdtContent>
    </w:sdt>
    <w:p w14:paraId="514DC0E0">
      <w:pPr>
        <w:ind w:firstLine="562" w:firstLineChars="200"/>
        <w:outlineLvl w:val="0"/>
        <w:rPr>
          <w:rFonts w:hint="eastAsia" w:ascii="黑体" w:hAnsi="黑体" w:eastAsia="黑体"/>
          <w:b/>
          <w:bCs/>
          <w:color w:val="auto"/>
          <w:sz w:val="28"/>
        </w:rPr>
        <w:sectPr>
          <w:footerReference r:id="rId4" w:type="default"/>
          <w:pgSz w:w="11906" w:h="16838"/>
          <w:pgMar w:top="1440" w:right="1800" w:bottom="1440" w:left="1800" w:header="851" w:footer="992" w:gutter="0"/>
          <w:pgNumType w:start="1"/>
          <w:cols w:space="425" w:num="1"/>
          <w:docGrid w:type="lines" w:linePitch="312" w:charSpace="0"/>
        </w:sectPr>
      </w:pPr>
    </w:p>
    <w:p w14:paraId="2EED3182">
      <w:pPr>
        <w:pStyle w:val="3"/>
        <w:rPr>
          <w:rFonts w:hint="eastAsia"/>
          <w:color w:val="auto"/>
        </w:rPr>
      </w:pPr>
      <w:bookmarkStart w:id="0" w:name="_Toc24317"/>
      <w:r>
        <w:rPr>
          <w:rFonts w:hint="eastAsia"/>
          <w:color w:val="auto"/>
        </w:rPr>
        <w:t>一、项目概况</w:t>
      </w:r>
      <w:bookmarkEnd w:id="0"/>
    </w:p>
    <w:p w14:paraId="5C9123CA">
      <w:pPr>
        <w:pStyle w:val="4"/>
        <w:ind w:firstLine="643"/>
        <w:rPr>
          <w:color w:val="auto"/>
        </w:rPr>
      </w:pPr>
      <w:bookmarkStart w:id="1" w:name="_Toc30339"/>
      <w:r>
        <w:rPr>
          <w:rFonts w:hint="eastAsia"/>
          <w:color w:val="auto"/>
        </w:rPr>
        <w:t>（一）项目名称</w:t>
      </w:r>
      <w:bookmarkEnd w:id="1"/>
    </w:p>
    <w:p w14:paraId="4716D4DF">
      <w:pPr>
        <w:ind w:firstLine="560" w:firstLineChars="200"/>
        <w:rPr>
          <w:rFonts w:hint="eastAsia" w:ascii="仿宋" w:hAnsi="仿宋" w:eastAsia="仿宋"/>
          <w:color w:val="auto"/>
          <w:sz w:val="28"/>
          <w:lang w:eastAsia="zh-CN"/>
        </w:rPr>
      </w:pPr>
      <w:r>
        <w:rPr>
          <w:rFonts w:hint="eastAsia" w:ascii="仿宋" w:hAnsi="仿宋" w:eastAsia="仿宋"/>
          <w:color w:val="auto"/>
          <w:sz w:val="28"/>
          <w:lang w:val="en-US" w:eastAsia="zh-CN"/>
        </w:rPr>
        <w:t>和田地区</w:t>
      </w:r>
      <w:r>
        <w:rPr>
          <w:rFonts w:hint="eastAsia" w:ascii="仿宋" w:hAnsi="仿宋" w:eastAsia="仿宋"/>
          <w:color w:val="auto"/>
          <w:sz w:val="28"/>
          <w:lang w:eastAsia="zh-CN"/>
        </w:rPr>
        <w:t>墨玉县城乡供水一体化信息工程</w:t>
      </w:r>
      <w:r>
        <w:rPr>
          <w:rFonts w:hint="eastAsia" w:ascii="仿宋" w:hAnsi="仿宋" w:eastAsia="仿宋"/>
          <w:color w:val="auto"/>
          <w:sz w:val="28"/>
        </w:rPr>
        <w:t>特许经营项目</w:t>
      </w:r>
      <w:r>
        <w:rPr>
          <w:rFonts w:hint="eastAsia" w:ascii="仿宋" w:hAnsi="仿宋" w:eastAsia="仿宋"/>
          <w:color w:val="auto"/>
          <w:sz w:val="28"/>
          <w:lang w:eastAsia="zh-CN"/>
        </w:rPr>
        <w:t>。</w:t>
      </w:r>
    </w:p>
    <w:p w14:paraId="51F15CB5">
      <w:pPr>
        <w:pStyle w:val="4"/>
        <w:ind w:firstLine="643"/>
        <w:rPr>
          <w:color w:val="auto"/>
        </w:rPr>
      </w:pPr>
      <w:bookmarkStart w:id="2" w:name="_Toc24101"/>
      <w:r>
        <w:rPr>
          <w:rFonts w:hint="eastAsia"/>
          <w:color w:val="auto"/>
        </w:rPr>
        <w:t>（二）实施机构</w:t>
      </w:r>
      <w:bookmarkEnd w:id="2"/>
    </w:p>
    <w:p w14:paraId="5385E8B4">
      <w:pPr>
        <w:ind w:firstLine="560" w:firstLineChars="200"/>
        <w:rPr>
          <w:rFonts w:hint="eastAsia" w:ascii="仿宋" w:hAnsi="仿宋" w:eastAsia="仿宋"/>
          <w:color w:val="auto"/>
          <w:sz w:val="28"/>
        </w:rPr>
      </w:pPr>
      <w:r>
        <w:rPr>
          <w:rFonts w:hint="eastAsia" w:ascii="仿宋" w:hAnsi="仿宋" w:eastAsia="仿宋"/>
          <w:color w:val="auto"/>
          <w:sz w:val="28"/>
        </w:rPr>
        <w:t>墨玉县人民政府授权</w:t>
      </w:r>
      <w:r>
        <w:rPr>
          <w:rFonts w:hint="eastAsia" w:ascii="仿宋" w:hAnsi="仿宋" w:eastAsia="仿宋"/>
          <w:color w:val="auto"/>
          <w:sz w:val="28"/>
          <w:lang w:eastAsia="zh-CN"/>
        </w:rPr>
        <w:t>县水利局、住房和城乡建设局</w:t>
      </w:r>
      <w:r>
        <w:rPr>
          <w:rFonts w:hint="eastAsia" w:ascii="仿宋" w:hAnsi="仿宋" w:eastAsia="仿宋"/>
          <w:color w:val="auto"/>
          <w:sz w:val="28"/>
        </w:rPr>
        <w:t>作为牵头实施机构，负责制订实施方案、项目招标、合同签订、收益监管及特许经营全周期管理。县水利局负责农村供水部分技术要求、考核标准、过程监督等事项</w:t>
      </w:r>
      <w:r>
        <w:rPr>
          <w:rFonts w:hint="eastAsia" w:ascii="仿宋" w:hAnsi="仿宋" w:eastAsia="仿宋"/>
          <w:color w:val="auto"/>
          <w:sz w:val="28"/>
          <w:lang w:val="en-US" w:eastAsia="zh-CN"/>
        </w:rPr>
        <w:t>;</w:t>
      </w:r>
      <w:r>
        <w:rPr>
          <w:rFonts w:hint="eastAsia" w:ascii="仿宋" w:hAnsi="仿宋" w:eastAsia="仿宋"/>
          <w:color w:val="auto"/>
          <w:sz w:val="28"/>
        </w:rPr>
        <w:t>县住房</w:t>
      </w:r>
      <w:r>
        <w:rPr>
          <w:rFonts w:hint="eastAsia" w:ascii="仿宋" w:hAnsi="仿宋" w:eastAsia="仿宋"/>
          <w:color w:val="auto"/>
          <w:sz w:val="28"/>
          <w:lang w:val="en-US" w:eastAsia="zh-CN"/>
        </w:rPr>
        <w:t>和</w:t>
      </w:r>
      <w:r>
        <w:rPr>
          <w:rFonts w:hint="eastAsia" w:ascii="仿宋" w:hAnsi="仿宋" w:eastAsia="仿宋"/>
          <w:color w:val="auto"/>
          <w:sz w:val="28"/>
        </w:rPr>
        <w:t>城乡建设局负责城市供水部分的技术要求、考核标准、过程监督等事项。</w:t>
      </w:r>
    </w:p>
    <w:p w14:paraId="12994F11">
      <w:pPr>
        <w:ind w:firstLine="560" w:firstLineChars="200"/>
        <w:rPr>
          <w:rFonts w:hint="eastAsia" w:ascii="仿宋" w:hAnsi="仿宋" w:eastAsia="仿宋"/>
          <w:color w:val="auto"/>
          <w:sz w:val="28"/>
        </w:rPr>
      </w:pPr>
      <w:r>
        <w:rPr>
          <w:rFonts w:hint="eastAsia" w:ascii="仿宋" w:hAnsi="仿宋" w:eastAsia="仿宋"/>
          <w:color w:val="auto"/>
          <w:sz w:val="28"/>
        </w:rPr>
        <w:t>实施机构主要职责：1、编制特许经营</w:t>
      </w:r>
      <w:r>
        <w:rPr>
          <w:rFonts w:hint="eastAsia" w:ascii="仿宋" w:hAnsi="仿宋" w:eastAsia="仿宋"/>
          <w:color w:val="auto"/>
          <w:sz w:val="28"/>
          <w:lang w:eastAsia="zh-CN"/>
        </w:rPr>
        <w:t>（</w:t>
      </w:r>
      <w:r>
        <w:rPr>
          <w:rFonts w:hint="eastAsia" w:ascii="仿宋" w:hAnsi="仿宋" w:eastAsia="仿宋"/>
          <w:color w:val="auto"/>
          <w:sz w:val="28"/>
          <w:lang w:val="en-US" w:eastAsia="zh-CN"/>
        </w:rPr>
        <w:t>详版</w:t>
      </w:r>
      <w:r>
        <w:rPr>
          <w:rFonts w:hint="eastAsia" w:ascii="仿宋" w:hAnsi="仿宋" w:eastAsia="仿宋"/>
          <w:color w:val="auto"/>
          <w:sz w:val="28"/>
          <w:lang w:eastAsia="zh-CN"/>
        </w:rPr>
        <w:t>）</w:t>
      </w:r>
      <w:r>
        <w:rPr>
          <w:rFonts w:hint="eastAsia" w:ascii="仿宋" w:hAnsi="仿宋" w:eastAsia="仿宋"/>
          <w:color w:val="auto"/>
          <w:sz w:val="28"/>
        </w:rPr>
        <w:t>方案，</w:t>
      </w:r>
      <w:r>
        <w:rPr>
          <w:rFonts w:hint="eastAsia" w:ascii="仿宋" w:hAnsi="仿宋" w:eastAsia="仿宋"/>
          <w:color w:val="auto"/>
          <w:sz w:val="28"/>
          <w:lang w:val="en-US" w:eastAsia="zh-CN"/>
        </w:rPr>
        <w:t>召开听证会征求意见完善后，</w:t>
      </w:r>
      <w:r>
        <w:rPr>
          <w:rFonts w:hint="eastAsia" w:ascii="仿宋" w:hAnsi="仿宋" w:eastAsia="仿宋"/>
          <w:color w:val="auto"/>
          <w:sz w:val="28"/>
        </w:rPr>
        <w:t>报县</w:t>
      </w:r>
      <w:r>
        <w:rPr>
          <w:rFonts w:hint="eastAsia" w:ascii="仿宋" w:hAnsi="仿宋" w:eastAsia="仿宋"/>
          <w:color w:val="auto"/>
          <w:sz w:val="28"/>
          <w:lang w:val="en-US" w:eastAsia="zh-CN"/>
        </w:rPr>
        <w:t>人民</w:t>
      </w:r>
      <w:r>
        <w:rPr>
          <w:rFonts w:hint="eastAsia" w:ascii="仿宋" w:hAnsi="仿宋" w:eastAsia="仿宋"/>
          <w:color w:val="auto"/>
          <w:sz w:val="28"/>
        </w:rPr>
        <w:t>政府批准；2、组织开展特许经营权招标采购工作；3、与中标</w:t>
      </w:r>
      <w:r>
        <w:rPr>
          <w:rFonts w:hint="eastAsia" w:ascii="仿宋" w:hAnsi="仿宋" w:eastAsia="仿宋"/>
          <w:color w:val="auto"/>
          <w:sz w:val="28"/>
          <w:lang w:val="en-US" w:eastAsia="zh-CN"/>
        </w:rPr>
        <w:t>人</w:t>
      </w:r>
      <w:r>
        <w:rPr>
          <w:rFonts w:hint="eastAsia" w:ascii="仿宋" w:hAnsi="仿宋" w:eastAsia="仿宋"/>
          <w:color w:val="auto"/>
          <w:sz w:val="28"/>
        </w:rPr>
        <w:t>签订特许经营协议；4、监督特许经营者履行协议义务；5、组织开展项目绩效评价；6、协调解决项目实施中的重大问题；7、特许经营期满组织资产</w:t>
      </w:r>
      <w:r>
        <w:rPr>
          <w:rFonts w:hint="eastAsia" w:ascii="仿宋" w:hAnsi="仿宋" w:eastAsia="仿宋"/>
          <w:color w:val="auto"/>
          <w:sz w:val="28"/>
          <w:lang w:val="en-US" w:eastAsia="zh-CN"/>
        </w:rPr>
        <w:t>和经营权收回</w:t>
      </w:r>
      <w:r>
        <w:rPr>
          <w:rFonts w:hint="eastAsia" w:ascii="仿宋" w:hAnsi="仿宋" w:eastAsia="仿宋"/>
          <w:color w:val="auto"/>
          <w:sz w:val="28"/>
        </w:rPr>
        <w:t>。</w:t>
      </w:r>
    </w:p>
    <w:p w14:paraId="1E7AFD98">
      <w:pPr>
        <w:pStyle w:val="4"/>
        <w:ind w:firstLine="643"/>
        <w:rPr>
          <w:color w:val="auto"/>
        </w:rPr>
      </w:pPr>
      <w:bookmarkStart w:id="3" w:name="_Toc21136"/>
      <w:r>
        <w:rPr>
          <w:rFonts w:hint="eastAsia"/>
          <w:color w:val="auto"/>
        </w:rPr>
        <w:t>（三）</w:t>
      </w:r>
      <w:r>
        <w:rPr>
          <w:color w:val="auto"/>
        </w:rPr>
        <w:t>特许经营模式</w:t>
      </w:r>
      <w:bookmarkEnd w:id="3"/>
    </w:p>
    <w:p w14:paraId="2BFB3F0B">
      <w:pPr>
        <w:ind w:firstLine="560" w:firstLineChars="200"/>
        <w:rPr>
          <w:rFonts w:hint="eastAsia" w:ascii="仿宋" w:hAnsi="仿宋" w:eastAsia="仿宋"/>
          <w:bCs/>
          <w:color w:val="auto"/>
          <w:sz w:val="28"/>
        </w:rPr>
      </w:pPr>
      <w:r>
        <w:rPr>
          <w:rFonts w:hint="eastAsia" w:ascii="仿宋" w:hAnsi="仿宋" w:eastAsia="仿宋"/>
          <w:bCs/>
          <w:color w:val="auto"/>
          <w:sz w:val="28"/>
        </w:rPr>
        <w:t>本项目采用TOT+ROT混合模式，TOT为“转让—运营—移交”</w:t>
      </w:r>
      <w:r>
        <w:rPr>
          <w:rFonts w:hint="eastAsia" w:ascii="仿宋" w:hAnsi="仿宋" w:eastAsia="仿宋"/>
          <w:bCs/>
          <w:color w:val="auto"/>
          <w:sz w:val="28"/>
          <w:lang w:val="en-US" w:eastAsia="zh-CN"/>
        </w:rPr>
        <w:t>模式</w:t>
      </w:r>
      <w:r>
        <w:rPr>
          <w:rFonts w:hint="eastAsia" w:ascii="仿宋" w:hAnsi="仿宋" w:eastAsia="仿宋"/>
          <w:bCs/>
          <w:color w:val="auto"/>
          <w:sz w:val="28"/>
        </w:rPr>
        <w:t>，ROT为“改建—运营—移交”</w:t>
      </w:r>
      <w:r>
        <w:rPr>
          <w:rFonts w:hint="eastAsia" w:ascii="仿宋" w:hAnsi="仿宋" w:eastAsia="仿宋"/>
          <w:bCs/>
          <w:color w:val="auto"/>
          <w:sz w:val="28"/>
          <w:lang w:val="en-US" w:eastAsia="zh-CN"/>
        </w:rPr>
        <w:t>模式</w:t>
      </w:r>
      <w:r>
        <w:rPr>
          <w:rFonts w:hint="eastAsia" w:ascii="仿宋" w:hAnsi="仿宋" w:eastAsia="仿宋"/>
          <w:bCs/>
          <w:color w:val="auto"/>
          <w:sz w:val="28"/>
        </w:rPr>
        <w:t>。</w:t>
      </w:r>
    </w:p>
    <w:p w14:paraId="691C7C07">
      <w:pPr>
        <w:ind w:firstLine="560" w:firstLineChars="200"/>
        <w:rPr>
          <w:rFonts w:hint="eastAsia" w:ascii="仿宋" w:hAnsi="仿宋" w:eastAsia="仿宋"/>
          <w:bCs/>
          <w:color w:val="auto"/>
          <w:sz w:val="28"/>
        </w:rPr>
      </w:pPr>
      <w:r>
        <w:rPr>
          <w:rFonts w:hint="eastAsia" w:ascii="仿宋" w:hAnsi="仿宋" w:eastAsia="仿宋"/>
          <w:bCs/>
          <w:color w:val="auto"/>
          <w:sz w:val="28"/>
          <w:lang w:val="en-US" w:eastAsia="zh-CN"/>
        </w:rPr>
        <w:t>本项目存量部分采用</w:t>
      </w:r>
      <w:r>
        <w:rPr>
          <w:rFonts w:hint="eastAsia" w:ascii="仿宋" w:hAnsi="仿宋" w:eastAsia="仿宋"/>
          <w:bCs/>
          <w:color w:val="auto"/>
          <w:sz w:val="28"/>
        </w:rPr>
        <w:t>TOT模式</w:t>
      </w:r>
      <w:r>
        <w:rPr>
          <w:rFonts w:hint="eastAsia" w:ascii="仿宋" w:hAnsi="仿宋" w:eastAsia="仿宋"/>
          <w:bCs/>
          <w:color w:val="auto"/>
          <w:sz w:val="28"/>
          <w:lang w:eastAsia="zh-CN"/>
        </w:rPr>
        <w:t>，</w:t>
      </w:r>
      <w:r>
        <w:rPr>
          <w:rFonts w:hint="eastAsia" w:ascii="仿宋" w:hAnsi="仿宋" w:eastAsia="仿宋"/>
          <w:bCs/>
          <w:color w:val="auto"/>
          <w:sz w:val="28"/>
          <w:lang w:val="en-US" w:eastAsia="zh-CN"/>
        </w:rPr>
        <w:t>即</w:t>
      </w:r>
      <w:r>
        <w:rPr>
          <w:rFonts w:hint="eastAsia" w:ascii="仿宋" w:hAnsi="仿宋" w:eastAsia="仿宋"/>
          <w:bCs/>
          <w:color w:val="auto"/>
          <w:sz w:val="28"/>
        </w:rPr>
        <w:t>墨玉县人民政府将已建成并投入运营的城乡供水设施的经营权和收益权通过公开竞争方式授予特许经营者，特许经营者在特许经营期内负责项目的运营、维护，并享有经营收益，特许经营期满后将项目设施无偿移交给政府指定机构。</w:t>
      </w:r>
    </w:p>
    <w:p w14:paraId="6F5F6F75">
      <w:pPr>
        <w:ind w:firstLine="560" w:firstLineChars="200"/>
        <w:rPr>
          <w:rFonts w:hint="eastAsia" w:ascii="仿宋" w:hAnsi="仿宋" w:eastAsia="仿宋"/>
          <w:bCs/>
          <w:color w:val="auto"/>
          <w:sz w:val="28"/>
        </w:rPr>
      </w:pPr>
      <w:r>
        <w:rPr>
          <w:rFonts w:hint="eastAsia" w:ascii="仿宋" w:hAnsi="仿宋" w:eastAsia="仿宋"/>
          <w:bCs/>
          <w:color w:val="auto"/>
          <w:sz w:val="28"/>
          <w:lang w:val="en-US" w:eastAsia="zh-CN"/>
        </w:rPr>
        <w:t>本项目已经具备一定信息化基础，</w:t>
      </w:r>
      <w:r>
        <w:rPr>
          <w:rFonts w:hint="eastAsia" w:ascii="仿宋" w:hAnsi="仿宋" w:eastAsia="仿宋"/>
          <w:bCs/>
          <w:color w:val="auto"/>
          <w:sz w:val="28"/>
          <w:lang w:eastAsia="zh-CN"/>
        </w:rPr>
        <w:t>为提高水费收取率，降低人工成本，</w:t>
      </w:r>
      <w:r>
        <w:rPr>
          <w:rFonts w:hint="eastAsia" w:ascii="仿宋" w:hAnsi="仿宋" w:eastAsia="仿宋"/>
          <w:bCs/>
          <w:color w:val="auto"/>
          <w:sz w:val="28"/>
        </w:rPr>
        <w:t>保障项目可持续发展，允许特许经营者在特许经营期内，经政府批准后对</w:t>
      </w:r>
      <w:r>
        <w:rPr>
          <w:rFonts w:hint="eastAsia" w:ascii="仿宋" w:hAnsi="仿宋" w:eastAsia="仿宋"/>
          <w:bCs/>
          <w:color w:val="auto"/>
          <w:sz w:val="28"/>
          <w:lang w:val="en-US" w:eastAsia="zh-CN"/>
        </w:rPr>
        <w:t>城乡供水一体化</w:t>
      </w:r>
      <w:r>
        <w:rPr>
          <w:rFonts w:hint="eastAsia" w:ascii="仿宋" w:hAnsi="仿宋" w:eastAsia="仿宋"/>
          <w:bCs/>
          <w:color w:val="auto"/>
          <w:sz w:val="28"/>
        </w:rPr>
        <w:t>项目进行必要的改扩建（ROT模式</w:t>
      </w:r>
      <w:r>
        <w:rPr>
          <w:rFonts w:hint="eastAsia" w:ascii="仿宋" w:hAnsi="仿宋" w:eastAsia="仿宋"/>
          <w:bCs/>
          <w:color w:val="auto"/>
          <w:sz w:val="28"/>
          <w:lang w:eastAsia="zh-CN"/>
        </w:rPr>
        <w:t>，</w:t>
      </w:r>
      <w:r>
        <w:rPr>
          <w:rFonts w:hint="eastAsia" w:ascii="仿宋" w:hAnsi="仿宋" w:eastAsia="仿宋"/>
          <w:bCs/>
          <w:color w:val="auto"/>
          <w:sz w:val="28"/>
          <w:lang w:val="en-US" w:eastAsia="zh-CN"/>
        </w:rPr>
        <w:t>即</w:t>
      </w:r>
      <w:r>
        <w:rPr>
          <w:rFonts w:hint="eastAsia" w:ascii="仿宋" w:hAnsi="仿宋" w:eastAsia="仿宋"/>
          <w:bCs/>
          <w:color w:val="auto"/>
          <w:sz w:val="28"/>
        </w:rPr>
        <w:t>改建—运营—移交），新增投资纳入特许经营成本，通过使用者付费和政府补贴（如有）回收。</w:t>
      </w:r>
    </w:p>
    <w:p w14:paraId="3B43C108">
      <w:pPr>
        <w:pStyle w:val="4"/>
        <w:ind w:firstLine="643"/>
        <w:rPr>
          <w:color w:val="auto"/>
        </w:rPr>
      </w:pPr>
      <w:bookmarkStart w:id="4" w:name="_Toc4489"/>
      <w:r>
        <w:rPr>
          <w:rFonts w:hint="eastAsia"/>
          <w:color w:val="auto"/>
        </w:rPr>
        <w:t>（四）特许经营区域</w:t>
      </w:r>
      <w:bookmarkEnd w:id="4"/>
    </w:p>
    <w:p w14:paraId="31512E8B">
      <w:pPr>
        <w:ind w:firstLine="560" w:firstLineChars="200"/>
        <w:rPr>
          <w:rFonts w:hint="eastAsia" w:ascii="仿宋" w:hAnsi="仿宋" w:eastAsia="仿宋"/>
          <w:color w:val="auto"/>
          <w:sz w:val="28"/>
        </w:rPr>
      </w:pPr>
      <w:r>
        <w:rPr>
          <w:rFonts w:hint="eastAsia" w:ascii="仿宋" w:hAnsi="仿宋" w:eastAsia="仿宋"/>
          <w:color w:val="auto"/>
          <w:sz w:val="28"/>
        </w:rPr>
        <w:t>墨玉县行政区全部区域。包括墨玉县所辖的</w:t>
      </w:r>
      <w:r>
        <w:rPr>
          <w:rFonts w:ascii="仿宋" w:hAnsi="仿宋" w:eastAsia="仿宋"/>
          <w:color w:val="auto"/>
          <w:sz w:val="28"/>
        </w:rPr>
        <w:t>3个街道</w:t>
      </w:r>
      <w:r>
        <w:rPr>
          <w:rFonts w:hint="eastAsia" w:ascii="仿宋" w:hAnsi="仿宋" w:eastAsia="仿宋"/>
          <w:color w:val="auto"/>
          <w:sz w:val="28"/>
        </w:rPr>
        <w:t>、</w:t>
      </w:r>
      <w:r>
        <w:rPr>
          <w:rFonts w:ascii="仿宋" w:hAnsi="仿宋" w:eastAsia="仿宋"/>
          <w:color w:val="auto"/>
          <w:sz w:val="28"/>
        </w:rPr>
        <w:t>5个镇、11个乡</w:t>
      </w:r>
      <w:r>
        <w:rPr>
          <w:rFonts w:hint="eastAsia" w:ascii="仿宋" w:hAnsi="仿宋" w:eastAsia="仿宋"/>
          <w:color w:val="auto"/>
          <w:sz w:val="28"/>
        </w:rPr>
        <w:t>，</w:t>
      </w:r>
      <w:r>
        <w:rPr>
          <w:rFonts w:ascii="仿宋" w:hAnsi="仿宋" w:eastAsia="仿宋"/>
          <w:color w:val="auto"/>
          <w:sz w:val="28"/>
        </w:rPr>
        <w:t>397个行政村及城区，服务人口约60万人</w:t>
      </w:r>
      <w:r>
        <w:rPr>
          <w:rFonts w:hint="eastAsia" w:ascii="仿宋" w:hAnsi="仿宋" w:eastAsia="仿宋"/>
          <w:color w:val="auto"/>
          <w:sz w:val="28"/>
        </w:rPr>
        <w:t>。</w:t>
      </w:r>
    </w:p>
    <w:p w14:paraId="12734DC9">
      <w:pPr>
        <w:pStyle w:val="4"/>
        <w:ind w:firstLine="643"/>
        <w:rPr>
          <w:color w:val="auto"/>
        </w:rPr>
      </w:pPr>
      <w:bookmarkStart w:id="5" w:name="_Toc25950"/>
      <w:r>
        <w:rPr>
          <w:rFonts w:hint="eastAsia"/>
          <w:color w:val="auto"/>
        </w:rPr>
        <w:t>（五）特许经营权范围</w:t>
      </w:r>
      <w:bookmarkEnd w:id="5"/>
    </w:p>
    <w:p w14:paraId="6C7BCFD7">
      <w:pPr>
        <w:ind w:firstLine="562" w:firstLineChars="200"/>
        <w:rPr>
          <w:rFonts w:hint="eastAsia" w:ascii="仿宋" w:hAnsi="仿宋" w:eastAsia="仿宋"/>
          <w:color w:val="auto"/>
          <w:sz w:val="28"/>
        </w:rPr>
      </w:pPr>
      <w:r>
        <w:rPr>
          <w:rFonts w:hint="eastAsia" w:ascii="仿宋" w:hAnsi="仿宋" w:eastAsia="仿宋"/>
          <w:b/>
          <w:bCs/>
          <w:color w:val="auto"/>
          <w:sz w:val="28"/>
        </w:rPr>
        <w:t>1、运营权：</w:t>
      </w:r>
      <w:r>
        <w:rPr>
          <w:rFonts w:hint="eastAsia" w:ascii="仿宋" w:hAnsi="仿宋" w:eastAsia="仿宋"/>
          <w:color w:val="auto"/>
          <w:sz w:val="28"/>
        </w:rPr>
        <w:t>在特许经营区域内独家提供城乡供水服务，包括水源地管理、取水、制水、输配水、售水、供水设施维护等。</w:t>
      </w:r>
      <w:r>
        <w:rPr>
          <w:rFonts w:hint="eastAsia" w:ascii="仿宋" w:hAnsi="仿宋" w:eastAsia="仿宋"/>
          <w:b/>
          <w:bCs/>
          <w:color w:val="auto"/>
          <w:sz w:val="28"/>
        </w:rPr>
        <w:t>2、收费权：</w:t>
      </w:r>
      <w:r>
        <w:rPr>
          <w:rFonts w:hint="eastAsia" w:ascii="仿宋" w:hAnsi="仿宋" w:eastAsia="仿宋"/>
          <w:color w:val="auto"/>
          <w:sz w:val="28"/>
        </w:rPr>
        <w:t>向用户收取自来水水费及相关增值服务费用。</w:t>
      </w:r>
      <w:r>
        <w:rPr>
          <w:rFonts w:hint="eastAsia" w:ascii="仿宋" w:hAnsi="仿宋" w:eastAsia="仿宋"/>
          <w:b/>
          <w:bCs/>
          <w:color w:val="auto"/>
          <w:sz w:val="28"/>
        </w:rPr>
        <w:t>3、资产使用权：</w:t>
      </w:r>
      <w:r>
        <w:rPr>
          <w:rFonts w:hint="eastAsia" w:ascii="仿宋" w:hAnsi="仿宋" w:eastAsia="仿宋"/>
          <w:color w:val="auto"/>
          <w:sz w:val="28"/>
        </w:rPr>
        <w:t>特许经营期内使用供水设施、设备、管网等资产。</w:t>
      </w:r>
      <w:r>
        <w:rPr>
          <w:rFonts w:hint="eastAsia" w:ascii="仿宋" w:hAnsi="仿宋" w:eastAsia="仿宋"/>
          <w:b/>
          <w:bCs/>
          <w:color w:val="auto"/>
          <w:sz w:val="28"/>
        </w:rPr>
        <w:t>4、更新改造权：</w:t>
      </w:r>
      <w:r>
        <w:rPr>
          <w:rFonts w:hint="eastAsia" w:ascii="仿宋" w:hAnsi="仿宋" w:eastAsia="仿宋"/>
          <w:color w:val="auto"/>
          <w:sz w:val="28"/>
        </w:rPr>
        <w:t>根据运营需要，对供水设施进行必要的更新改造</w:t>
      </w:r>
      <w:r>
        <w:rPr>
          <w:rFonts w:hint="eastAsia" w:ascii="仿宋" w:hAnsi="仿宋" w:eastAsia="仿宋"/>
          <w:color w:val="auto"/>
          <w:sz w:val="28"/>
          <w:lang w:eastAsia="zh-CN"/>
        </w:rPr>
        <w:t>，</w:t>
      </w:r>
      <w:r>
        <w:rPr>
          <w:rFonts w:hint="eastAsia" w:ascii="仿宋" w:hAnsi="仿宋" w:eastAsia="仿宋"/>
          <w:color w:val="auto"/>
          <w:sz w:val="28"/>
          <w:lang w:val="en-US" w:eastAsia="zh-CN"/>
        </w:rPr>
        <w:t>包括信息化和数字化改造</w:t>
      </w:r>
      <w:r>
        <w:rPr>
          <w:rFonts w:hint="eastAsia" w:ascii="仿宋" w:hAnsi="仿宋" w:eastAsia="仿宋"/>
          <w:color w:val="auto"/>
          <w:sz w:val="28"/>
        </w:rPr>
        <w:t>。</w:t>
      </w:r>
      <w:r>
        <w:rPr>
          <w:rFonts w:hint="eastAsia" w:ascii="仿宋" w:hAnsi="仿宋" w:eastAsia="仿宋"/>
          <w:b/>
          <w:bCs/>
          <w:color w:val="auto"/>
          <w:sz w:val="28"/>
        </w:rPr>
        <w:t>5、改扩建权：</w:t>
      </w:r>
      <w:r>
        <w:rPr>
          <w:rFonts w:hint="eastAsia" w:ascii="仿宋" w:hAnsi="仿宋" w:eastAsia="仿宋"/>
          <w:color w:val="auto"/>
          <w:sz w:val="28"/>
        </w:rPr>
        <w:t>经政府批准后，对项目进行必要的扩建。</w:t>
      </w:r>
      <w:r>
        <w:rPr>
          <w:rFonts w:hint="eastAsia" w:ascii="仿宋" w:hAnsi="仿宋" w:eastAsia="仿宋"/>
          <w:b/>
          <w:bCs/>
          <w:color w:val="auto"/>
          <w:sz w:val="28"/>
        </w:rPr>
        <w:t>6、其他权利：</w:t>
      </w:r>
      <w:r>
        <w:rPr>
          <w:rFonts w:hint="eastAsia" w:ascii="仿宋" w:hAnsi="仿宋" w:eastAsia="仿宋"/>
          <w:color w:val="auto"/>
          <w:sz w:val="28"/>
        </w:rPr>
        <w:t>法律法规规定和特许经营协议约定的其他权利。</w:t>
      </w:r>
    </w:p>
    <w:p w14:paraId="64E1514E">
      <w:pPr>
        <w:pStyle w:val="4"/>
        <w:ind w:firstLine="643"/>
        <w:rPr>
          <w:color w:val="auto"/>
        </w:rPr>
      </w:pPr>
      <w:bookmarkStart w:id="6" w:name="_Toc18254"/>
      <w:r>
        <w:rPr>
          <w:rFonts w:hint="eastAsia"/>
          <w:color w:val="auto"/>
        </w:rPr>
        <w:t>（六）特许经营权期限</w:t>
      </w:r>
      <w:bookmarkEnd w:id="6"/>
    </w:p>
    <w:p w14:paraId="32F91440">
      <w:pPr>
        <w:ind w:firstLine="560" w:firstLineChars="200"/>
        <w:rPr>
          <w:rFonts w:hint="eastAsia" w:ascii="仿宋" w:hAnsi="仿宋" w:eastAsia="仿宋"/>
          <w:color w:val="auto"/>
          <w:sz w:val="28"/>
        </w:rPr>
      </w:pPr>
      <w:r>
        <w:rPr>
          <w:rFonts w:hint="eastAsia" w:ascii="仿宋" w:hAnsi="仿宋" w:eastAsia="仿宋"/>
          <w:color w:val="auto"/>
          <w:sz w:val="28"/>
        </w:rPr>
        <w:t>特许经营期限为30年，自特许经营协议签订之日起计算。特许经营期限届满后，如项目仍需继续采用特许经营模式，实施机构应当重新选择特许经营者，同等条件下可优先选择原特许经营者。</w:t>
      </w:r>
    </w:p>
    <w:p w14:paraId="188A98D8">
      <w:pPr>
        <w:pStyle w:val="3"/>
        <w:rPr>
          <w:rFonts w:hint="eastAsia"/>
          <w:color w:val="auto"/>
        </w:rPr>
      </w:pPr>
      <w:bookmarkStart w:id="7" w:name="_Toc6688"/>
      <w:r>
        <w:rPr>
          <w:rFonts w:hint="eastAsia"/>
          <w:color w:val="auto"/>
        </w:rPr>
        <w:t>二、主要政策依据</w:t>
      </w:r>
      <w:bookmarkEnd w:id="7"/>
    </w:p>
    <w:p w14:paraId="181655C9">
      <w:pPr>
        <w:pStyle w:val="4"/>
        <w:ind w:firstLine="643"/>
        <w:rPr>
          <w:color w:val="auto"/>
        </w:rPr>
      </w:pPr>
      <w:bookmarkStart w:id="8" w:name="_Toc17653"/>
      <w:r>
        <w:rPr>
          <w:rFonts w:hint="eastAsia"/>
          <w:color w:val="auto"/>
        </w:rPr>
        <w:t>（一）国家层面</w:t>
      </w:r>
      <w:bookmarkEnd w:id="8"/>
    </w:p>
    <w:p w14:paraId="2BE5C627">
      <w:pPr>
        <w:ind w:firstLine="560" w:firstLineChars="200"/>
        <w:rPr>
          <w:rFonts w:hint="eastAsia" w:ascii="仿宋" w:hAnsi="仿宋" w:eastAsia="仿宋"/>
          <w:color w:val="auto"/>
          <w:sz w:val="28"/>
        </w:rPr>
      </w:pPr>
      <w:r>
        <w:rPr>
          <w:rFonts w:hint="eastAsia" w:ascii="仿宋" w:hAnsi="仿宋" w:eastAsia="仿宋"/>
          <w:color w:val="auto"/>
          <w:sz w:val="28"/>
        </w:rPr>
        <w:t>1、《中华人民共和国行政许可法》；2、《中华人民共和国合同法》；3、《中华人民共和国公司法》；4、《中华人民共和国水法》；5、《中华人民共和国水污染防治法》；6、《中华人民共和国招标投标法》；7、《中华人民共和国政府采购法》；8、《政府投资条例》（国务院令第712号）；9、《企业投资项目核准和备案管理条例》（国务院令第673号）；10、《基础设施和公用事业特许经营管理办法》（国家发展改革委、财政部、住房城乡建设部、交通运输部、水利部、中国人民银行2024年第17号令）；11、《市政公用事业特许经营管理办法》（建设部令第126号）；12、《市政公共资源有偿使用收入管理办法》（财税〔2016〕116号）；13、《关于进一步盘活存量资产扩大有效投资的意见》（国办发〔2022〕19号）。</w:t>
      </w:r>
    </w:p>
    <w:p w14:paraId="28EFA09C">
      <w:pPr>
        <w:pStyle w:val="4"/>
        <w:ind w:firstLine="643"/>
        <w:rPr>
          <w:color w:val="auto"/>
        </w:rPr>
      </w:pPr>
      <w:bookmarkStart w:id="9" w:name="_Toc29445"/>
      <w:r>
        <w:rPr>
          <w:rFonts w:hint="eastAsia"/>
          <w:color w:val="auto"/>
        </w:rPr>
        <w:t>（二）新疆维吾尔自治区层面</w:t>
      </w:r>
      <w:bookmarkEnd w:id="9"/>
    </w:p>
    <w:p w14:paraId="0BF13D5E">
      <w:pPr>
        <w:ind w:firstLine="560" w:firstLineChars="200"/>
        <w:rPr>
          <w:rFonts w:hint="eastAsia" w:ascii="仿宋" w:hAnsi="仿宋" w:eastAsia="仿宋"/>
          <w:color w:val="auto"/>
          <w:sz w:val="28"/>
        </w:rPr>
      </w:pPr>
      <w:r>
        <w:rPr>
          <w:rFonts w:hint="eastAsia" w:ascii="仿宋" w:hAnsi="仿宋" w:eastAsia="仿宋"/>
          <w:color w:val="auto"/>
          <w:sz w:val="28"/>
        </w:rPr>
        <w:t>1、《新疆维吾尔自治区市政公用事业特许经营条例》（自治区第十届人大常委会公告第19号）；2、《新疆维吾尔自治区农村供水管理办法》（自治区人民政府令第223号）；3、《新疆维吾尔自治区城市供热供水供气管理办法》；4、《关于做好农村供水保障工作的实施意见》（新政办发〔2021〕105号）。</w:t>
      </w:r>
    </w:p>
    <w:p w14:paraId="40CBF792">
      <w:pPr>
        <w:pStyle w:val="3"/>
        <w:rPr>
          <w:rFonts w:hint="eastAsia"/>
          <w:color w:val="auto"/>
        </w:rPr>
      </w:pPr>
      <w:bookmarkStart w:id="10" w:name="_Toc21467"/>
      <w:r>
        <w:rPr>
          <w:rFonts w:hint="eastAsia"/>
          <w:color w:val="auto"/>
        </w:rPr>
        <w:t>三、项目必要性与可行性分析</w:t>
      </w:r>
      <w:bookmarkEnd w:id="10"/>
    </w:p>
    <w:p w14:paraId="6BE56D42">
      <w:pPr>
        <w:pStyle w:val="4"/>
        <w:ind w:firstLine="643"/>
        <w:rPr>
          <w:color w:val="auto"/>
        </w:rPr>
      </w:pPr>
      <w:bookmarkStart w:id="11" w:name="_Toc19511"/>
      <w:r>
        <w:rPr>
          <w:rFonts w:hint="eastAsia"/>
          <w:color w:val="auto"/>
        </w:rPr>
        <w:t>（一）项目必要性</w:t>
      </w:r>
      <w:bookmarkEnd w:id="11"/>
    </w:p>
    <w:p w14:paraId="4342A62F">
      <w:pPr>
        <w:ind w:firstLine="562" w:firstLineChars="200"/>
        <w:rPr>
          <w:rFonts w:hint="eastAsia" w:ascii="仿宋" w:hAnsi="仿宋" w:eastAsia="仿宋"/>
          <w:color w:val="auto"/>
          <w:sz w:val="28"/>
        </w:rPr>
      </w:pPr>
      <w:r>
        <w:rPr>
          <w:rFonts w:hint="eastAsia" w:ascii="仿宋" w:hAnsi="仿宋" w:eastAsia="仿宋"/>
          <w:b/>
          <w:bCs/>
          <w:color w:val="auto"/>
          <w:sz w:val="28"/>
        </w:rPr>
        <w:t>1、贯彻落实国家政策的需要</w:t>
      </w:r>
      <w:r>
        <w:rPr>
          <w:rFonts w:hint="eastAsia" w:ascii="仿宋" w:hAnsi="仿宋" w:eastAsia="仿宋"/>
          <w:b/>
          <w:bCs/>
          <w:color w:val="auto"/>
          <w:sz w:val="28"/>
          <w:lang w:eastAsia="zh-CN"/>
        </w:rPr>
        <w:t>：</w:t>
      </w:r>
      <w:r>
        <w:rPr>
          <w:rFonts w:hint="eastAsia" w:ascii="仿宋" w:hAnsi="仿宋" w:eastAsia="仿宋"/>
          <w:color w:val="auto"/>
          <w:sz w:val="28"/>
        </w:rPr>
        <w:t>实施本项目是贯彻落实国家关于盘活存量资产、防范地方政府隐性债务、鼓励和引导社会资本参与基础设施和公用事业建设运营等政策的具体举措，有利于推动投融资体制改革，创新公共服务供给模式。</w:t>
      </w:r>
    </w:p>
    <w:p w14:paraId="41BCBCD8">
      <w:pPr>
        <w:ind w:firstLine="562" w:firstLineChars="200"/>
        <w:rPr>
          <w:rFonts w:hint="eastAsia" w:ascii="仿宋" w:hAnsi="仿宋" w:eastAsia="仿宋"/>
          <w:color w:val="auto"/>
          <w:sz w:val="28"/>
        </w:rPr>
      </w:pPr>
      <w:r>
        <w:rPr>
          <w:rFonts w:hint="eastAsia" w:ascii="仿宋" w:hAnsi="仿宋" w:eastAsia="仿宋"/>
          <w:b/>
          <w:bCs/>
          <w:color w:val="auto"/>
          <w:sz w:val="28"/>
        </w:rPr>
        <w:t>2、提升供水服务质量的需要</w:t>
      </w:r>
      <w:r>
        <w:rPr>
          <w:rFonts w:hint="eastAsia" w:ascii="仿宋" w:hAnsi="仿宋" w:eastAsia="仿宋"/>
          <w:b/>
          <w:bCs/>
          <w:color w:val="auto"/>
          <w:sz w:val="28"/>
          <w:lang w:eastAsia="zh-CN"/>
        </w:rPr>
        <w:t>：</w:t>
      </w:r>
      <w:r>
        <w:rPr>
          <w:rFonts w:hint="eastAsia" w:ascii="仿宋" w:hAnsi="仿宋" w:eastAsia="仿宋"/>
          <w:color w:val="auto"/>
          <w:sz w:val="28"/>
        </w:rPr>
        <w:t>通过引入社会资本，特别是具有专业技术和管理经验的企业，对城乡供水一体化工程进行信息化数字化</w:t>
      </w:r>
      <w:r>
        <w:rPr>
          <w:rFonts w:hint="eastAsia" w:ascii="仿宋" w:hAnsi="仿宋" w:eastAsia="仿宋"/>
          <w:color w:val="auto"/>
          <w:sz w:val="28"/>
          <w:lang w:val="en-US" w:eastAsia="zh-CN"/>
        </w:rPr>
        <w:t>建设和</w:t>
      </w:r>
      <w:r>
        <w:rPr>
          <w:rFonts w:hint="eastAsia" w:ascii="仿宋" w:hAnsi="仿宋" w:eastAsia="仿宋"/>
          <w:color w:val="auto"/>
          <w:sz w:val="28"/>
        </w:rPr>
        <w:t>改造，可以有效提升供水服务的专业化、规范化水平，改善水质，保障供水安全，提高群众满意度。</w:t>
      </w:r>
    </w:p>
    <w:p w14:paraId="6B38C0B1">
      <w:pPr>
        <w:ind w:firstLine="562" w:firstLineChars="200"/>
        <w:rPr>
          <w:rFonts w:hint="eastAsia" w:ascii="仿宋" w:hAnsi="仿宋" w:eastAsia="仿宋"/>
          <w:color w:val="auto"/>
          <w:sz w:val="28"/>
        </w:rPr>
      </w:pPr>
      <w:r>
        <w:rPr>
          <w:rFonts w:hint="eastAsia" w:ascii="仿宋" w:hAnsi="仿宋" w:eastAsia="仿宋"/>
          <w:b/>
          <w:bCs/>
          <w:color w:val="auto"/>
          <w:sz w:val="28"/>
        </w:rPr>
        <w:t>3、减轻政府财政负担的需要</w:t>
      </w:r>
      <w:r>
        <w:rPr>
          <w:rFonts w:hint="eastAsia" w:ascii="仿宋" w:hAnsi="仿宋" w:eastAsia="仿宋"/>
          <w:b/>
          <w:bCs/>
          <w:color w:val="auto"/>
          <w:sz w:val="28"/>
          <w:lang w:eastAsia="zh-CN"/>
        </w:rPr>
        <w:t>：</w:t>
      </w:r>
      <w:r>
        <w:rPr>
          <w:rFonts w:hint="eastAsia" w:ascii="仿宋" w:hAnsi="仿宋" w:eastAsia="仿宋"/>
          <w:color w:val="auto"/>
          <w:sz w:val="28"/>
        </w:rPr>
        <w:t>采用特许经营模式，由社会资本承担项目的运营、维护、更新改造等责任，政府无需新增财政支出，特许经营费收入用于偿还专项债券本息，有效减轻财政负担。</w:t>
      </w:r>
    </w:p>
    <w:p w14:paraId="2BAEA027">
      <w:pPr>
        <w:ind w:firstLine="562" w:firstLineChars="200"/>
        <w:rPr>
          <w:rFonts w:hint="eastAsia" w:ascii="仿宋" w:hAnsi="仿宋" w:eastAsia="仿宋"/>
          <w:color w:val="auto"/>
          <w:sz w:val="28"/>
        </w:rPr>
      </w:pPr>
      <w:r>
        <w:rPr>
          <w:rFonts w:hint="eastAsia" w:ascii="仿宋" w:hAnsi="仿宋" w:eastAsia="仿宋"/>
          <w:b/>
          <w:bCs/>
          <w:color w:val="auto"/>
          <w:sz w:val="28"/>
        </w:rPr>
        <w:t>4、促进国有资产保值增值的需要</w:t>
      </w:r>
      <w:r>
        <w:rPr>
          <w:rFonts w:hint="eastAsia" w:ascii="仿宋" w:hAnsi="仿宋" w:eastAsia="仿宋"/>
          <w:b/>
          <w:bCs/>
          <w:color w:val="auto"/>
          <w:sz w:val="28"/>
          <w:lang w:eastAsia="zh-CN"/>
        </w:rPr>
        <w:t>：</w:t>
      </w:r>
      <w:r>
        <w:rPr>
          <w:rFonts w:hint="eastAsia" w:ascii="仿宋" w:hAnsi="仿宋" w:eastAsia="仿宋"/>
          <w:color w:val="auto"/>
          <w:sz w:val="28"/>
        </w:rPr>
        <w:t>通过特许经营权价值评估和公开竞争，实现国有资产的市场化定价，</w:t>
      </w:r>
      <w:r>
        <w:rPr>
          <w:rFonts w:hint="eastAsia" w:ascii="仿宋" w:hAnsi="仿宋" w:eastAsia="仿宋"/>
          <w:color w:val="auto"/>
          <w:sz w:val="28"/>
          <w:lang w:val="en-US" w:eastAsia="zh-CN"/>
        </w:rPr>
        <w:t>实现项目提质增效</w:t>
      </w:r>
      <w:r>
        <w:rPr>
          <w:rFonts w:hint="eastAsia" w:ascii="仿宋" w:hAnsi="仿宋" w:eastAsia="仿宋"/>
          <w:color w:val="auto"/>
          <w:sz w:val="28"/>
        </w:rPr>
        <w:t>，</w:t>
      </w:r>
      <w:r>
        <w:rPr>
          <w:rFonts w:hint="eastAsia" w:ascii="仿宋" w:hAnsi="仿宋" w:eastAsia="仿宋"/>
          <w:color w:val="auto"/>
          <w:sz w:val="28"/>
          <w:lang w:val="en-US" w:eastAsia="zh-CN"/>
        </w:rPr>
        <w:t>促进</w:t>
      </w:r>
      <w:r>
        <w:rPr>
          <w:rFonts w:hint="eastAsia" w:ascii="仿宋" w:hAnsi="仿宋" w:eastAsia="仿宋"/>
          <w:color w:val="auto"/>
          <w:sz w:val="28"/>
        </w:rPr>
        <w:t>国有资产保值增值。</w:t>
      </w:r>
    </w:p>
    <w:p w14:paraId="6542B130">
      <w:pPr>
        <w:pStyle w:val="4"/>
        <w:ind w:firstLine="643"/>
        <w:rPr>
          <w:color w:val="auto"/>
        </w:rPr>
      </w:pPr>
      <w:bookmarkStart w:id="12" w:name="_Toc16058"/>
      <w:r>
        <w:rPr>
          <w:rFonts w:hint="eastAsia"/>
          <w:color w:val="auto"/>
        </w:rPr>
        <w:t>（二）项目可行性</w:t>
      </w:r>
      <w:bookmarkEnd w:id="12"/>
    </w:p>
    <w:p w14:paraId="395BBE56">
      <w:pPr>
        <w:ind w:firstLine="562" w:firstLineChars="200"/>
        <w:rPr>
          <w:rFonts w:hint="eastAsia" w:ascii="仿宋" w:hAnsi="仿宋" w:eastAsia="仿宋"/>
          <w:color w:val="auto"/>
          <w:sz w:val="28"/>
        </w:rPr>
      </w:pPr>
      <w:r>
        <w:rPr>
          <w:rFonts w:hint="eastAsia" w:ascii="仿宋" w:hAnsi="仿宋" w:eastAsia="仿宋"/>
          <w:b/>
          <w:bCs/>
          <w:color w:val="auto"/>
          <w:sz w:val="28"/>
        </w:rPr>
        <w:t>1、政策可行性</w:t>
      </w:r>
      <w:r>
        <w:rPr>
          <w:rFonts w:hint="eastAsia" w:ascii="仿宋" w:hAnsi="仿宋" w:eastAsia="仿宋"/>
          <w:b/>
          <w:bCs/>
          <w:color w:val="auto"/>
          <w:sz w:val="28"/>
          <w:lang w:eastAsia="zh-CN"/>
        </w:rPr>
        <w:t>：</w:t>
      </w:r>
      <w:r>
        <w:rPr>
          <w:rFonts w:hint="eastAsia" w:ascii="仿宋" w:hAnsi="仿宋" w:eastAsia="仿宋"/>
          <w:color w:val="auto"/>
          <w:sz w:val="28"/>
        </w:rPr>
        <w:t>本项目符合国家关于公用事业特许经营的政策导向，具备充分的政策依据和法律保障。</w:t>
      </w:r>
    </w:p>
    <w:p w14:paraId="487014B6">
      <w:pPr>
        <w:ind w:firstLine="562" w:firstLineChars="200"/>
        <w:rPr>
          <w:rFonts w:hint="eastAsia" w:ascii="仿宋" w:hAnsi="仿宋" w:eastAsia="仿宋"/>
          <w:color w:val="auto"/>
          <w:sz w:val="28"/>
        </w:rPr>
      </w:pPr>
      <w:r>
        <w:rPr>
          <w:rFonts w:hint="eastAsia" w:ascii="仿宋" w:hAnsi="仿宋" w:eastAsia="仿宋"/>
          <w:b/>
          <w:bCs/>
          <w:color w:val="auto"/>
          <w:sz w:val="28"/>
        </w:rPr>
        <w:t>2、技术可行性</w:t>
      </w:r>
      <w:r>
        <w:rPr>
          <w:rFonts w:hint="eastAsia" w:ascii="仿宋" w:hAnsi="仿宋" w:eastAsia="仿宋"/>
          <w:b/>
          <w:bCs/>
          <w:color w:val="auto"/>
          <w:sz w:val="28"/>
          <w:lang w:eastAsia="zh-CN"/>
        </w:rPr>
        <w:t>：</w:t>
      </w:r>
      <w:r>
        <w:rPr>
          <w:rFonts w:hint="eastAsia" w:ascii="仿宋" w:hAnsi="仿宋" w:eastAsia="仿宋"/>
          <w:color w:val="auto"/>
          <w:sz w:val="28"/>
        </w:rPr>
        <w:t>墨玉县现有供水设施基本完善，技术条件成熟，通过必要的更新改造和专业化运营，能够满足特许经营要求。</w:t>
      </w:r>
    </w:p>
    <w:p w14:paraId="778466C9">
      <w:pPr>
        <w:ind w:firstLine="562" w:firstLineChars="200"/>
        <w:rPr>
          <w:rFonts w:hint="eastAsia" w:ascii="仿宋" w:hAnsi="仿宋" w:eastAsia="仿宋"/>
          <w:color w:val="auto"/>
          <w:sz w:val="28"/>
        </w:rPr>
      </w:pPr>
      <w:r>
        <w:rPr>
          <w:rFonts w:hint="eastAsia" w:ascii="仿宋" w:hAnsi="仿宋" w:eastAsia="仿宋"/>
          <w:b/>
          <w:bCs/>
          <w:color w:val="auto"/>
          <w:sz w:val="28"/>
        </w:rPr>
        <w:t>3、经济可行性</w:t>
      </w:r>
      <w:r>
        <w:rPr>
          <w:rFonts w:hint="eastAsia" w:ascii="仿宋" w:hAnsi="仿宋" w:eastAsia="仿宋"/>
          <w:b/>
          <w:bCs/>
          <w:color w:val="auto"/>
          <w:sz w:val="28"/>
          <w:lang w:eastAsia="zh-CN"/>
        </w:rPr>
        <w:t>：</w:t>
      </w:r>
      <w:r>
        <w:rPr>
          <w:rFonts w:hint="eastAsia" w:ascii="仿宋" w:hAnsi="仿宋" w:eastAsia="仿宋"/>
          <w:color w:val="auto"/>
          <w:sz w:val="28"/>
        </w:rPr>
        <w:t>经测算，项目经营收入能够覆盖运营成本并获得合理投资回报，具备市场化运作条件。</w:t>
      </w:r>
    </w:p>
    <w:p w14:paraId="10035C63">
      <w:pPr>
        <w:ind w:firstLine="562" w:firstLineChars="200"/>
        <w:rPr>
          <w:rFonts w:hint="eastAsia" w:ascii="仿宋" w:hAnsi="仿宋" w:eastAsia="仿宋"/>
          <w:color w:val="auto"/>
          <w:sz w:val="28"/>
        </w:rPr>
      </w:pPr>
      <w:r>
        <w:rPr>
          <w:rFonts w:hint="eastAsia" w:ascii="仿宋" w:hAnsi="仿宋" w:eastAsia="仿宋"/>
          <w:b/>
          <w:bCs/>
          <w:color w:val="auto"/>
          <w:sz w:val="28"/>
        </w:rPr>
        <w:t>4、市场可行性</w:t>
      </w:r>
      <w:r>
        <w:rPr>
          <w:rFonts w:hint="eastAsia" w:ascii="仿宋" w:hAnsi="仿宋" w:eastAsia="仿宋"/>
          <w:b/>
          <w:bCs/>
          <w:color w:val="auto"/>
          <w:sz w:val="28"/>
          <w:lang w:eastAsia="zh-CN"/>
        </w:rPr>
        <w:t>：</w:t>
      </w:r>
      <w:r>
        <w:rPr>
          <w:rFonts w:hint="eastAsia" w:ascii="仿宋" w:hAnsi="仿宋" w:eastAsia="仿宋"/>
          <w:color w:val="auto"/>
          <w:sz w:val="28"/>
        </w:rPr>
        <w:t>供水服务具有稳定的用户群体和收费机制，市场需求明确，经营风险可控。</w:t>
      </w:r>
    </w:p>
    <w:p w14:paraId="6BFBF729">
      <w:pPr>
        <w:pStyle w:val="4"/>
        <w:ind w:firstLine="643"/>
        <w:rPr>
          <w:color w:val="auto"/>
        </w:rPr>
      </w:pPr>
      <w:bookmarkStart w:id="13" w:name="_Toc4057"/>
      <w:r>
        <w:rPr>
          <w:rFonts w:hint="eastAsia"/>
          <w:color w:val="auto"/>
        </w:rPr>
        <w:t>（三）特许经营模式可行性论证</w:t>
      </w:r>
      <w:bookmarkEnd w:id="13"/>
    </w:p>
    <w:p w14:paraId="335D90BC">
      <w:pPr>
        <w:ind w:firstLine="562" w:firstLineChars="200"/>
        <w:rPr>
          <w:rFonts w:hint="eastAsia" w:ascii="仿宋" w:hAnsi="仿宋" w:eastAsia="仿宋"/>
          <w:color w:val="auto"/>
          <w:sz w:val="28"/>
          <w:lang w:val="en-US" w:eastAsia="zh-CN"/>
        </w:rPr>
      </w:pPr>
      <w:r>
        <w:rPr>
          <w:rFonts w:hint="eastAsia" w:ascii="仿宋" w:hAnsi="仿宋" w:eastAsia="仿宋"/>
          <w:b/>
          <w:bCs/>
          <w:color w:val="auto"/>
          <w:sz w:val="28"/>
        </w:rPr>
        <w:t>1、与传统政府投资模式比较</w:t>
      </w:r>
      <w:r>
        <w:rPr>
          <w:rFonts w:hint="eastAsia" w:ascii="仿宋" w:hAnsi="仿宋" w:eastAsia="仿宋"/>
          <w:b/>
          <w:bCs/>
          <w:color w:val="auto"/>
          <w:sz w:val="28"/>
          <w:lang w:eastAsia="zh-CN"/>
        </w:rPr>
        <w:t>：</w:t>
      </w:r>
      <w:r>
        <w:rPr>
          <w:rFonts w:hint="eastAsia" w:ascii="仿宋" w:hAnsi="仿宋" w:eastAsia="仿宋"/>
          <w:color w:val="auto"/>
          <w:sz w:val="28"/>
          <w:lang w:val="en-US" w:eastAsia="zh-CN"/>
        </w:rPr>
        <w:t>近几年，我县落实政策要求，响应群众呼声，积极实施城乡供水一体化工程，通过发行地方政府专项债6项6.9亿元，实施了一批水源、管网等供水工程，提高了供水质量，保证了城乡供水安全。但传统政府投资模式下，政府承担全部投资、建设、运营、维护责任，财政长期投入压力较大。而本项目采用TOT+ROT混合特许经营模式，一是通过TOT模式盘活已建成的存量供水设施，通过特许经营权出让，获得收益用于偿还专项债本息。二是通过ROT模式允许特许经营者在政府批准后进行改扩建，能够弥补现有信息化基础的不足，新增投资也可通过使用者付费和政府补贴合理回收。</w:t>
      </w:r>
    </w:p>
    <w:p w14:paraId="2E21EA55">
      <w:pPr>
        <w:ind w:firstLine="562" w:firstLineChars="200"/>
        <w:rPr>
          <w:rFonts w:hint="eastAsia" w:ascii="仿宋" w:hAnsi="仿宋" w:eastAsia="仿宋"/>
          <w:color w:val="auto"/>
          <w:sz w:val="28"/>
        </w:rPr>
      </w:pPr>
      <w:r>
        <w:rPr>
          <w:rFonts w:hint="eastAsia" w:ascii="仿宋" w:hAnsi="仿宋" w:eastAsia="仿宋"/>
          <w:b/>
          <w:bCs/>
          <w:color w:val="auto"/>
          <w:sz w:val="28"/>
        </w:rPr>
        <w:t>2、市场发育程度评估</w:t>
      </w:r>
      <w:r>
        <w:rPr>
          <w:rFonts w:hint="eastAsia" w:ascii="仿宋" w:hAnsi="仿宋" w:eastAsia="仿宋"/>
          <w:b/>
          <w:bCs/>
          <w:color w:val="auto"/>
          <w:sz w:val="28"/>
          <w:lang w:eastAsia="zh-CN"/>
        </w:rPr>
        <w:t>：</w:t>
      </w:r>
      <w:r>
        <w:rPr>
          <w:rFonts w:hint="eastAsia" w:ascii="仿宋" w:hAnsi="仿宋" w:eastAsia="仿宋"/>
          <w:color w:val="auto"/>
          <w:sz w:val="28"/>
        </w:rPr>
        <w:t>供水行业市场化程度较高，国内已有大量成功案例，社会资本参与意愿强烈，市场竞争充分。</w:t>
      </w:r>
    </w:p>
    <w:p w14:paraId="140CEB35">
      <w:pPr>
        <w:ind w:firstLine="562" w:firstLineChars="200"/>
        <w:rPr>
          <w:rFonts w:hint="eastAsia" w:ascii="仿宋" w:hAnsi="仿宋" w:eastAsia="仿宋"/>
          <w:color w:val="auto"/>
          <w:sz w:val="28"/>
        </w:rPr>
      </w:pPr>
      <w:r>
        <w:rPr>
          <w:rFonts w:hint="eastAsia" w:ascii="仿宋" w:hAnsi="仿宋" w:eastAsia="仿宋"/>
          <w:b/>
          <w:bCs/>
          <w:color w:val="auto"/>
          <w:sz w:val="28"/>
        </w:rPr>
        <w:t>3、社会资本建设运营能力评估</w:t>
      </w:r>
      <w:r>
        <w:rPr>
          <w:rFonts w:hint="eastAsia" w:ascii="仿宋" w:hAnsi="仿宋" w:eastAsia="仿宋"/>
          <w:b/>
          <w:bCs/>
          <w:color w:val="auto"/>
          <w:sz w:val="28"/>
          <w:lang w:eastAsia="zh-CN"/>
        </w:rPr>
        <w:t>：</w:t>
      </w:r>
      <w:r>
        <w:rPr>
          <w:rFonts w:hint="eastAsia" w:ascii="仿宋" w:hAnsi="仿宋" w:eastAsia="仿宋"/>
          <w:color w:val="auto"/>
          <w:sz w:val="28"/>
        </w:rPr>
        <w:t>国内供水行业已形成一批具有丰富经验和专业能力的企业，具备承担项目建设运营的能力。</w:t>
      </w:r>
    </w:p>
    <w:p w14:paraId="1D4DDDFF">
      <w:pPr>
        <w:ind w:firstLine="562" w:firstLineChars="200"/>
        <w:rPr>
          <w:rFonts w:hint="eastAsia" w:ascii="仿宋" w:hAnsi="仿宋" w:eastAsia="仿宋"/>
          <w:color w:val="auto"/>
          <w:sz w:val="28"/>
        </w:rPr>
      </w:pPr>
      <w:r>
        <w:rPr>
          <w:rFonts w:hint="eastAsia" w:ascii="仿宋" w:hAnsi="仿宋" w:eastAsia="仿宋"/>
          <w:b/>
          <w:bCs/>
          <w:color w:val="auto"/>
          <w:sz w:val="28"/>
        </w:rPr>
        <w:t>4、使用者支付意愿和能力评估</w:t>
      </w:r>
      <w:r>
        <w:rPr>
          <w:rFonts w:hint="eastAsia" w:ascii="仿宋" w:hAnsi="仿宋" w:eastAsia="仿宋"/>
          <w:b/>
          <w:bCs/>
          <w:color w:val="auto"/>
          <w:sz w:val="28"/>
          <w:lang w:eastAsia="zh-CN"/>
        </w:rPr>
        <w:t>：</w:t>
      </w:r>
      <w:r>
        <w:rPr>
          <w:rFonts w:hint="eastAsia" w:ascii="仿宋" w:hAnsi="仿宋" w:eastAsia="仿宋"/>
          <w:color w:val="auto"/>
          <w:sz w:val="28"/>
        </w:rPr>
        <w:t>供水服务是基本民生需求，用户支付意愿强烈。水价在居民可承受范围内，支付能力充足。</w:t>
      </w:r>
    </w:p>
    <w:p w14:paraId="4F4A50B5">
      <w:pPr>
        <w:ind w:firstLine="560" w:firstLineChars="200"/>
        <w:rPr>
          <w:rFonts w:hint="eastAsia" w:ascii="仿宋" w:hAnsi="仿宋" w:eastAsia="仿宋"/>
          <w:color w:val="auto"/>
          <w:sz w:val="28"/>
        </w:rPr>
      </w:pPr>
      <w:r>
        <w:rPr>
          <w:rFonts w:hint="eastAsia" w:ascii="仿宋" w:hAnsi="仿宋" w:eastAsia="仿宋"/>
          <w:color w:val="auto"/>
          <w:sz w:val="28"/>
        </w:rPr>
        <w:t>综上所述，采用特许经营模式，政府承担监管责任，不新增财政支出，因此采用TOT+ROT混合特许经营模式是可行的。</w:t>
      </w:r>
    </w:p>
    <w:p w14:paraId="71071E1F">
      <w:pPr>
        <w:pStyle w:val="3"/>
        <w:rPr>
          <w:rFonts w:hint="eastAsia"/>
          <w:color w:val="auto"/>
        </w:rPr>
      </w:pPr>
      <w:bookmarkStart w:id="14" w:name="_Toc12341"/>
      <w:r>
        <w:rPr>
          <w:rFonts w:hint="eastAsia"/>
          <w:color w:val="auto"/>
        </w:rPr>
        <w:t>四、</w:t>
      </w:r>
      <w:r>
        <w:rPr>
          <w:rFonts w:hint="eastAsia"/>
          <w:color w:val="auto"/>
          <w:lang w:val="en-US" w:eastAsia="zh-CN"/>
        </w:rPr>
        <w:t>政府与特许经营者的</w:t>
      </w:r>
      <w:r>
        <w:rPr>
          <w:rFonts w:hint="eastAsia"/>
          <w:color w:val="auto"/>
        </w:rPr>
        <w:t>权益划分</w:t>
      </w:r>
      <w:bookmarkEnd w:id="14"/>
    </w:p>
    <w:p w14:paraId="2FFA8DA6">
      <w:pPr>
        <w:pStyle w:val="4"/>
        <w:ind w:firstLine="643"/>
        <w:rPr>
          <w:color w:val="auto"/>
        </w:rPr>
      </w:pPr>
      <w:bookmarkStart w:id="15" w:name="_Toc10984"/>
      <w:r>
        <w:rPr>
          <w:rFonts w:hint="eastAsia"/>
          <w:color w:val="auto"/>
        </w:rPr>
        <w:t>（</w:t>
      </w:r>
      <w:r>
        <w:rPr>
          <w:rFonts w:hint="eastAsia"/>
          <w:color w:val="auto"/>
          <w:lang w:val="en-US" w:eastAsia="zh-CN"/>
        </w:rPr>
        <w:t>一</w:t>
      </w:r>
      <w:r>
        <w:rPr>
          <w:rFonts w:hint="eastAsia"/>
          <w:color w:val="auto"/>
        </w:rPr>
        <w:t>）</w:t>
      </w:r>
      <w:r>
        <w:rPr>
          <w:rFonts w:hint="eastAsia"/>
          <w:color w:val="auto"/>
          <w:lang w:val="en-US" w:eastAsia="zh-CN"/>
        </w:rPr>
        <w:t>特许经营者</w:t>
      </w:r>
      <w:r>
        <w:rPr>
          <w:rFonts w:hint="eastAsia"/>
          <w:color w:val="auto"/>
        </w:rPr>
        <w:t>的权利（占用权、经营权、收益权）</w:t>
      </w:r>
      <w:bookmarkEnd w:id="15"/>
    </w:p>
    <w:p w14:paraId="14813C92">
      <w:pPr>
        <w:ind w:firstLine="562" w:firstLineChars="200"/>
        <w:rPr>
          <w:rFonts w:hint="eastAsia" w:ascii="仿宋" w:hAnsi="仿宋" w:eastAsia="仿宋"/>
          <w:color w:val="auto"/>
          <w:sz w:val="28"/>
        </w:rPr>
      </w:pPr>
      <w:r>
        <w:rPr>
          <w:rFonts w:hint="eastAsia" w:ascii="仿宋" w:hAnsi="仿宋" w:eastAsia="仿宋"/>
          <w:b/>
          <w:bCs/>
          <w:color w:val="auto"/>
          <w:sz w:val="28"/>
        </w:rPr>
        <w:t>1、资产占用权：</w:t>
      </w:r>
      <w:r>
        <w:rPr>
          <w:rFonts w:hint="eastAsia" w:ascii="仿宋" w:hAnsi="仿宋" w:eastAsia="仿宋"/>
          <w:color w:val="auto"/>
          <w:sz w:val="28"/>
        </w:rPr>
        <w:t>对</w:t>
      </w:r>
      <w:r>
        <w:rPr>
          <w:rFonts w:hint="eastAsia" w:ascii="仿宋" w:hAnsi="仿宋" w:eastAsia="仿宋"/>
          <w:color w:val="auto"/>
          <w:sz w:val="28"/>
          <w:lang w:eastAsia="zh-CN"/>
        </w:rPr>
        <w:t>供水</w:t>
      </w:r>
      <w:r>
        <w:rPr>
          <w:rFonts w:hint="eastAsia" w:ascii="仿宋" w:hAnsi="仿宋" w:eastAsia="仿宋"/>
          <w:color w:val="auto"/>
          <w:sz w:val="28"/>
        </w:rPr>
        <w:t>清单内的资产享有实际控制、使用和支配的权利。</w:t>
      </w:r>
      <w:r>
        <w:rPr>
          <w:rFonts w:hint="eastAsia" w:ascii="仿宋" w:hAnsi="仿宋" w:eastAsia="仿宋"/>
          <w:color w:val="auto"/>
          <w:sz w:val="28"/>
          <w:lang w:val="en-US" w:eastAsia="zh-CN"/>
        </w:rPr>
        <w:t>特许经营者</w:t>
      </w:r>
      <w:r>
        <w:rPr>
          <w:rFonts w:hint="eastAsia" w:ascii="仿宋" w:hAnsi="仿宋" w:eastAsia="仿宋"/>
          <w:color w:val="auto"/>
          <w:sz w:val="28"/>
        </w:rPr>
        <w:t>通过占据资产并利用其功能，满足生产经营需求或获取收益。</w:t>
      </w:r>
      <w:r>
        <w:rPr>
          <w:rFonts w:hint="eastAsia" w:ascii="仿宋" w:hAnsi="仿宋" w:eastAsia="仿宋"/>
          <w:b/>
          <w:bCs/>
          <w:color w:val="auto"/>
          <w:sz w:val="28"/>
        </w:rPr>
        <w:t>2、经营权：</w:t>
      </w:r>
      <w:r>
        <w:rPr>
          <w:rFonts w:hint="eastAsia" w:ascii="仿宋" w:hAnsi="仿宋" w:eastAsia="仿宋"/>
          <w:color w:val="auto"/>
          <w:sz w:val="28"/>
        </w:rPr>
        <w:t>在特许经营区域内独家提供供水服务。</w:t>
      </w:r>
      <w:r>
        <w:rPr>
          <w:rFonts w:hint="eastAsia" w:ascii="仿宋" w:hAnsi="仿宋" w:eastAsia="仿宋"/>
          <w:b/>
          <w:bCs/>
          <w:color w:val="auto"/>
          <w:sz w:val="28"/>
        </w:rPr>
        <w:t>3、收费权：</w:t>
      </w:r>
      <w:r>
        <w:rPr>
          <w:rFonts w:hint="eastAsia" w:ascii="仿宋" w:hAnsi="仿宋" w:eastAsia="仿宋"/>
          <w:color w:val="auto"/>
          <w:sz w:val="28"/>
        </w:rPr>
        <w:t>向用户收取水费及相关费用的权力。</w:t>
      </w:r>
      <w:r>
        <w:rPr>
          <w:rFonts w:hint="eastAsia" w:ascii="仿宋" w:hAnsi="仿宋" w:eastAsia="仿宋"/>
          <w:b/>
          <w:bCs/>
          <w:color w:val="auto"/>
          <w:sz w:val="28"/>
        </w:rPr>
        <w:t>4、更新</w:t>
      </w:r>
      <w:r>
        <w:rPr>
          <w:rFonts w:hint="eastAsia" w:ascii="仿宋" w:hAnsi="仿宋" w:eastAsia="仿宋"/>
          <w:b/>
          <w:bCs/>
          <w:color w:val="auto"/>
          <w:sz w:val="28"/>
          <w:lang w:val="en-US" w:eastAsia="zh-CN"/>
        </w:rPr>
        <w:t>维修</w:t>
      </w:r>
      <w:r>
        <w:rPr>
          <w:rFonts w:hint="eastAsia" w:ascii="仿宋" w:hAnsi="仿宋" w:eastAsia="仿宋"/>
          <w:b/>
          <w:bCs/>
          <w:color w:val="auto"/>
          <w:sz w:val="28"/>
        </w:rPr>
        <w:t>权：</w:t>
      </w:r>
      <w:r>
        <w:rPr>
          <w:rFonts w:hint="eastAsia" w:ascii="仿宋" w:hAnsi="仿宋" w:eastAsia="仿宋"/>
          <w:color w:val="auto"/>
          <w:sz w:val="28"/>
        </w:rPr>
        <w:t>对设施进行必要的更新</w:t>
      </w:r>
      <w:r>
        <w:rPr>
          <w:rFonts w:hint="eastAsia" w:ascii="仿宋" w:hAnsi="仿宋" w:eastAsia="仿宋"/>
          <w:color w:val="auto"/>
          <w:sz w:val="28"/>
          <w:lang w:val="en-US" w:eastAsia="zh-CN"/>
        </w:rPr>
        <w:t>和维修</w:t>
      </w:r>
      <w:r>
        <w:rPr>
          <w:rFonts w:hint="eastAsia" w:ascii="仿宋" w:hAnsi="仿宋" w:eastAsia="仿宋"/>
          <w:color w:val="auto"/>
          <w:sz w:val="28"/>
        </w:rPr>
        <w:t>。</w:t>
      </w:r>
      <w:r>
        <w:rPr>
          <w:rFonts w:hint="eastAsia" w:ascii="仿宋" w:hAnsi="仿宋" w:eastAsia="仿宋"/>
          <w:b/>
          <w:bCs/>
          <w:color w:val="auto"/>
          <w:sz w:val="28"/>
        </w:rPr>
        <w:t>5</w:t>
      </w:r>
      <w:r>
        <w:rPr>
          <w:rFonts w:hint="eastAsia" w:ascii="仿宋" w:hAnsi="仿宋" w:eastAsia="仿宋"/>
          <w:b/>
          <w:bCs/>
          <w:color w:val="auto"/>
          <w:sz w:val="28"/>
          <w:lang w:eastAsia="zh-CN"/>
        </w:rPr>
        <w:t>、</w:t>
      </w:r>
      <w:r>
        <w:rPr>
          <w:rFonts w:hint="eastAsia" w:ascii="仿宋" w:hAnsi="仿宋" w:eastAsia="仿宋"/>
          <w:b/>
          <w:bCs/>
          <w:color w:val="auto"/>
          <w:sz w:val="28"/>
        </w:rPr>
        <w:t>改扩建权：</w:t>
      </w:r>
      <w:r>
        <w:rPr>
          <w:rFonts w:hint="eastAsia" w:ascii="仿宋" w:hAnsi="仿宋" w:eastAsia="仿宋"/>
          <w:color w:val="auto"/>
          <w:sz w:val="28"/>
        </w:rPr>
        <w:t>经政府批准后对项目进行</w:t>
      </w:r>
      <w:r>
        <w:rPr>
          <w:rFonts w:hint="eastAsia" w:ascii="仿宋" w:hAnsi="仿宋" w:eastAsia="仿宋"/>
          <w:color w:val="auto"/>
          <w:sz w:val="28"/>
          <w:lang w:val="en-US" w:eastAsia="zh-CN"/>
        </w:rPr>
        <w:t>改建和</w:t>
      </w:r>
      <w:r>
        <w:rPr>
          <w:rFonts w:hint="eastAsia" w:ascii="仿宋" w:hAnsi="仿宋" w:eastAsia="仿宋"/>
          <w:color w:val="auto"/>
          <w:sz w:val="28"/>
        </w:rPr>
        <w:t>扩建。</w:t>
      </w:r>
      <w:r>
        <w:rPr>
          <w:rFonts w:hint="eastAsia" w:ascii="仿宋" w:hAnsi="仿宋" w:eastAsia="仿宋"/>
          <w:b/>
          <w:bCs/>
          <w:color w:val="auto"/>
          <w:sz w:val="28"/>
        </w:rPr>
        <w:t>6、经营自主权：</w:t>
      </w:r>
      <w:r>
        <w:rPr>
          <w:rFonts w:hint="eastAsia" w:ascii="仿宋" w:hAnsi="仿宋" w:eastAsia="仿宋"/>
          <w:color w:val="auto"/>
          <w:sz w:val="28"/>
        </w:rPr>
        <w:t>在法律和政策允许范围内自主开展经营活动。7、</w:t>
      </w:r>
      <w:r>
        <w:rPr>
          <w:rFonts w:hint="eastAsia" w:ascii="仿宋" w:hAnsi="仿宋" w:eastAsia="仿宋"/>
          <w:b/>
          <w:bCs/>
          <w:color w:val="auto"/>
          <w:sz w:val="28"/>
        </w:rPr>
        <w:t>收益权：</w:t>
      </w:r>
      <w:r>
        <w:rPr>
          <w:rFonts w:hint="eastAsia" w:ascii="仿宋" w:hAnsi="仿宋" w:eastAsia="仿宋"/>
          <w:color w:val="auto"/>
          <w:sz w:val="28"/>
        </w:rPr>
        <w:t>在支付特许经营费用和运营成本后</w:t>
      </w:r>
      <w:r>
        <w:rPr>
          <w:rFonts w:hint="eastAsia" w:ascii="仿宋" w:hAnsi="仿宋" w:eastAsia="仿宋"/>
          <w:color w:val="auto"/>
          <w:sz w:val="28"/>
          <w:lang w:eastAsia="zh-CN"/>
        </w:rPr>
        <w:t>，</w:t>
      </w:r>
      <w:r>
        <w:rPr>
          <w:rFonts w:hint="eastAsia" w:ascii="仿宋" w:hAnsi="仿宋" w:eastAsia="仿宋"/>
          <w:color w:val="auto"/>
          <w:sz w:val="28"/>
        </w:rPr>
        <w:t>享有经营收益。</w:t>
      </w:r>
    </w:p>
    <w:p w14:paraId="2208F632">
      <w:pPr>
        <w:pStyle w:val="4"/>
        <w:ind w:firstLine="643"/>
        <w:rPr>
          <w:color w:val="auto"/>
        </w:rPr>
      </w:pPr>
      <w:bookmarkStart w:id="16" w:name="_Toc8879"/>
      <w:r>
        <w:rPr>
          <w:rFonts w:hint="eastAsia"/>
          <w:color w:val="auto"/>
        </w:rPr>
        <w:t>（二）政府保留的权利（所有权、监管权、调价权）</w:t>
      </w:r>
      <w:bookmarkEnd w:id="16"/>
    </w:p>
    <w:p w14:paraId="4CD99436">
      <w:pPr>
        <w:ind w:firstLine="562" w:firstLineChars="200"/>
        <w:rPr>
          <w:rFonts w:hint="eastAsia" w:ascii="仿宋" w:hAnsi="仿宋" w:eastAsia="仿宋"/>
          <w:color w:val="auto"/>
          <w:sz w:val="28"/>
        </w:rPr>
      </w:pPr>
      <w:r>
        <w:rPr>
          <w:rFonts w:hint="eastAsia" w:ascii="仿宋" w:hAnsi="仿宋" w:eastAsia="仿宋"/>
          <w:b/>
          <w:bCs/>
          <w:color w:val="auto"/>
          <w:sz w:val="28"/>
        </w:rPr>
        <w:t>1、资产所有权：</w:t>
      </w:r>
      <w:r>
        <w:rPr>
          <w:rFonts w:hint="eastAsia" w:ascii="仿宋" w:hAnsi="仿宋" w:eastAsia="仿宋"/>
          <w:color w:val="auto"/>
          <w:sz w:val="28"/>
        </w:rPr>
        <w:t>供水设施、土地等资产所有权仍归属政府，由</w:t>
      </w:r>
      <w:r>
        <w:rPr>
          <w:rFonts w:hint="eastAsia" w:ascii="仿宋" w:hAnsi="仿宋" w:eastAsia="仿宋"/>
          <w:color w:val="auto"/>
          <w:sz w:val="28"/>
          <w:lang w:val="en-US" w:eastAsia="zh-CN"/>
        </w:rPr>
        <w:t>相关部门</w:t>
      </w:r>
      <w:r>
        <w:rPr>
          <w:rFonts w:hint="eastAsia" w:ascii="仿宋" w:hAnsi="仿宋" w:eastAsia="仿宋"/>
          <w:color w:val="auto"/>
          <w:sz w:val="28"/>
        </w:rPr>
        <w:t>持有。</w:t>
      </w:r>
      <w:r>
        <w:rPr>
          <w:rFonts w:hint="eastAsia" w:ascii="仿宋" w:hAnsi="仿宋" w:eastAsia="仿宋"/>
          <w:b/>
          <w:bCs/>
          <w:color w:val="auto"/>
          <w:sz w:val="28"/>
        </w:rPr>
        <w:t>2、监督权：</w:t>
      </w:r>
      <w:r>
        <w:rPr>
          <w:rFonts w:hint="eastAsia" w:ascii="仿宋" w:hAnsi="仿宋" w:eastAsia="仿宋"/>
          <w:color w:val="auto"/>
          <w:sz w:val="28"/>
        </w:rPr>
        <w:t>对</w:t>
      </w:r>
      <w:r>
        <w:rPr>
          <w:rFonts w:hint="eastAsia" w:ascii="仿宋" w:hAnsi="仿宋" w:eastAsia="仿宋"/>
          <w:color w:val="auto"/>
          <w:sz w:val="28"/>
          <w:lang w:eastAsia="zh-CN"/>
        </w:rPr>
        <w:t>特许经营者</w:t>
      </w:r>
      <w:r>
        <w:rPr>
          <w:rFonts w:hint="eastAsia" w:ascii="仿宋" w:hAnsi="仿宋" w:eastAsia="仿宋"/>
          <w:color w:val="auto"/>
          <w:sz w:val="28"/>
        </w:rPr>
        <w:t>运营、服务质量、安全生产、财务状况等进行监督。</w:t>
      </w:r>
      <w:r>
        <w:rPr>
          <w:rFonts w:hint="eastAsia" w:ascii="仿宋" w:hAnsi="仿宋" w:eastAsia="仿宋"/>
          <w:b/>
          <w:bCs/>
          <w:color w:val="auto"/>
          <w:sz w:val="28"/>
        </w:rPr>
        <w:t>3、价格调控权：</w:t>
      </w:r>
      <w:r>
        <w:rPr>
          <w:rFonts w:hint="eastAsia" w:ascii="仿宋" w:hAnsi="仿宋" w:eastAsia="仿宋"/>
          <w:color w:val="auto"/>
          <w:sz w:val="28"/>
        </w:rPr>
        <w:t>供水价格实行政府定价，政府有权根据成本监审结果和社会承受能力</w:t>
      </w:r>
      <w:r>
        <w:rPr>
          <w:rFonts w:hint="eastAsia" w:ascii="仿宋" w:hAnsi="仿宋" w:eastAsia="仿宋"/>
          <w:color w:val="auto"/>
          <w:sz w:val="28"/>
          <w:lang w:val="en-US" w:eastAsia="zh-CN"/>
        </w:rPr>
        <w:t>决定是否</w:t>
      </w:r>
      <w:r>
        <w:rPr>
          <w:rFonts w:hint="eastAsia" w:ascii="仿宋" w:hAnsi="仿宋" w:eastAsia="仿宋"/>
          <w:color w:val="auto"/>
          <w:sz w:val="28"/>
        </w:rPr>
        <w:t>调整水价。</w:t>
      </w:r>
      <w:r>
        <w:rPr>
          <w:rFonts w:hint="eastAsia" w:ascii="仿宋" w:hAnsi="仿宋" w:eastAsia="仿宋"/>
          <w:b/>
          <w:bCs/>
          <w:color w:val="auto"/>
          <w:sz w:val="28"/>
        </w:rPr>
        <w:t>4、重大事项审批权：</w:t>
      </w:r>
      <w:r>
        <w:rPr>
          <w:rFonts w:hint="eastAsia" w:ascii="仿宋" w:hAnsi="仿宋" w:eastAsia="仿宋"/>
          <w:color w:val="auto"/>
          <w:sz w:val="28"/>
          <w:lang w:eastAsia="zh-CN"/>
        </w:rPr>
        <w:t>特许经营者</w:t>
      </w:r>
      <w:r>
        <w:rPr>
          <w:rFonts w:hint="eastAsia" w:ascii="仿宋" w:hAnsi="仿宋" w:eastAsia="仿宋"/>
          <w:color w:val="auto"/>
          <w:sz w:val="28"/>
        </w:rPr>
        <w:t>的重大投资、重大资产处置、股权变更等事项需经政府批准。</w:t>
      </w:r>
      <w:r>
        <w:rPr>
          <w:rFonts w:hint="eastAsia" w:ascii="仿宋" w:hAnsi="仿宋" w:eastAsia="仿宋"/>
          <w:b/>
          <w:bCs/>
          <w:color w:val="auto"/>
          <w:sz w:val="28"/>
        </w:rPr>
        <w:t>5、接管权：</w:t>
      </w:r>
      <w:r>
        <w:rPr>
          <w:rFonts w:hint="eastAsia" w:ascii="仿宋" w:hAnsi="仿宋" w:eastAsia="仿宋"/>
          <w:color w:val="auto"/>
          <w:sz w:val="28"/>
        </w:rPr>
        <w:t>在特许经营者严重违约或发生紧急情况时，政府有权临时接管项</w:t>
      </w:r>
      <w:r>
        <w:rPr>
          <w:rFonts w:hint="eastAsia" w:ascii="仿宋" w:hAnsi="仿宋" w:eastAsia="仿宋"/>
          <w:b w:val="0"/>
          <w:bCs w:val="0"/>
          <w:color w:val="auto"/>
          <w:sz w:val="28"/>
        </w:rPr>
        <w:t>目。</w:t>
      </w:r>
      <w:r>
        <w:rPr>
          <w:rFonts w:hint="eastAsia" w:ascii="仿宋" w:hAnsi="仿宋" w:eastAsia="仿宋"/>
          <w:b/>
          <w:bCs/>
          <w:color w:val="auto"/>
          <w:sz w:val="28"/>
        </w:rPr>
        <w:t>6、协议终止权：</w:t>
      </w:r>
      <w:r>
        <w:rPr>
          <w:rFonts w:hint="eastAsia" w:ascii="仿宋" w:hAnsi="仿宋" w:eastAsia="仿宋"/>
          <w:color w:val="auto"/>
          <w:sz w:val="28"/>
        </w:rPr>
        <w:t>在特许经营者严重违约时，政府有权提前终止特许经营协议。</w:t>
      </w:r>
    </w:p>
    <w:p w14:paraId="3D0A0791">
      <w:pPr>
        <w:pStyle w:val="3"/>
        <w:rPr>
          <w:rFonts w:hint="eastAsia"/>
          <w:color w:val="auto"/>
        </w:rPr>
      </w:pPr>
      <w:bookmarkStart w:id="17" w:name="_Toc21032"/>
      <w:r>
        <w:rPr>
          <w:rFonts w:hint="eastAsia"/>
          <w:color w:val="auto"/>
          <w:lang w:val="en-US" w:eastAsia="zh-CN"/>
        </w:rPr>
        <w:t>五</w:t>
      </w:r>
      <w:r>
        <w:rPr>
          <w:rFonts w:hint="eastAsia"/>
          <w:color w:val="auto"/>
        </w:rPr>
        <w:t>、人员安置方案</w:t>
      </w:r>
      <w:bookmarkEnd w:id="17"/>
    </w:p>
    <w:p w14:paraId="44D10FEE">
      <w:pPr>
        <w:pStyle w:val="4"/>
        <w:ind w:firstLine="643"/>
        <w:rPr>
          <w:color w:val="auto"/>
        </w:rPr>
      </w:pPr>
      <w:bookmarkStart w:id="18" w:name="_Toc21507"/>
      <w:r>
        <w:rPr>
          <w:rFonts w:hint="eastAsia"/>
          <w:color w:val="auto"/>
        </w:rPr>
        <w:t>（一）安置原则</w:t>
      </w:r>
      <w:bookmarkEnd w:id="18"/>
    </w:p>
    <w:p w14:paraId="235CF787">
      <w:pPr>
        <w:widowControl w:val="0"/>
        <w:ind w:firstLine="562" w:firstLineChars="200"/>
        <w:jc w:val="both"/>
        <w:rPr>
          <w:rFonts w:ascii="宋体" w:hAnsi="Courier New" w:eastAsia="仿宋" w:cs="Times New Roman"/>
          <w:color w:val="auto"/>
          <w:sz w:val="28"/>
          <w:szCs w:val="28"/>
        </w:rPr>
      </w:pPr>
      <w:r>
        <w:rPr>
          <w:rFonts w:hint="eastAsia" w:ascii="宋体" w:hAnsi="宋体" w:eastAsia="宋体" w:cs="Times New Roman"/>
          <w:b/>
          <w:bCs/>
          <w:color w:val="auto"/>
          <w:sz w:val="28"/>
          <w:szCs w:val="28"/>
        </w:rPr>
        <w:t>1、</w:t>
      </w:r>
      <w:r>
        <w:rPr>
          <w:rFonts w:hint="eastAsia" w:ascii="仿宋" w:hAnsi="仿宋" w:eastAsia="仿宋" w:cs="Times New Roman"/>
          <w:b/>
          <w:bCs/>
          <w:color w:val="auto"/>
          <w:sz w:val="28"/>
          <w:szCs w:val="28"/>
        </w:rPr>
        <w:t>依法依规原则：</w:t>
      </w:r>
      <w:r>
        <w:rPr>
          <w:rFonts w:hint="eastAsia" w:ascii="仿宋" w:hAnsi="仿宋" w:eastAsia="仿宋" w:cs="Times New Roman"/>
          <w:color w:val="auto"/>
          <w:sz w:val="28"/>
          <w:szCs w:val="28"/>
        </w:rPr>
        <w:t>严格遵守《劳动法》</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《劳动合同法》等法律法规；</w:t>
      </w:r>
      <w:r>
        <w:rPr>
          <w:rFonts w:hint="eastAsia" w:ascii="宋体" w:hAnsi="宋体" w:eastAsia="宋体" w:cs="Times New Roman"/>
          <w:b/>
          <w:bCs/>
          <w:color w:val="auto"/>
          <w:sz w:val="28"/>
          <w:szCs w:val="28"/>
        </w:rPr>
        <w:t>2、</w:t>
      </w:r>
      <w:r>
        <w:rPr>
          <w:rFonts w:hint="eastAsia" w:ascii="仿宋" w:hAnsi="仿宋" w:eastAsia="仿宋" w:cs="Times New Roman"/>
          <w:b/>
          <w:bCs/>
          <w:color w:val="auto"/>
          <w:sz w:val="28"/>
          <w:szCs w:val="28"/>
        </w:rPr>
        <w:t>保障权益原则：</w:t>
      </w:r>
      <w:r>
        <w:rPr>
          <w:rFonts w:hint="eastAsia" w:ascii="仿宋" w:hAnsi="仿宋" w:eastAsia="仿宋" w:cs="Times New Roman"/>
          <w:color w:val="auto"/>
          <w:sz w:val="28"/>
          <w:szCs w:val="28"/>
        </w:rPr>
        <w:t>充分保障职工合法权益，不因改革损害职工利益；</w:t>
      </w:r>
      <w:r>
        <w:rPr>
          <w:rFonts w:hint="eastAsia" w:ascii="宋体" w:hAnsi="宋体" w:eastAsia="宋体" w:cs="Times New Roman"/>
          <w:b/>
          <w:bCs/>
          <w:color w:val="auto"/>
          <w:sz w:val="28"/>
          <w:szCs w:val="28"/>
        </w:rPr>
        <w:t>3、</w:t>
      </w:r>
      <w:r>
        <w:rPr>
          <w:rFonts w:hint="eastAsia" w:ascii="仿宋" w:hAnsi="仿宋" w:eastAsia="仿宋" w:cs="Times New Roman"/>
          <w:b/>
          <w:bCs/>
          <w:color w:val="auto"/>
          <w:sz w:val="28"/>
          <w:szCs w:val="28"/>
        </w:rPr>
        <w:t>平稳过渡原则：</w:t>
      </w:r>
      <w:r>
        <w:rPr>
          <w:rFonts w:hint="eastAsia" w:ascii="仿宋" w:hAnsi="仿宋" w:eastAsia="仿宋" w:cs="Times New Roman"/>
          <w:color w:val="auto"/>
          <w:sz w:val="28"/>
          <w:szCs w:val="28"/>
        </w:rPr>
        <w:t>确保人员安置平稳有序，维护社会稳定；</w:t>
      </w:r>
      <w:r>
        <w:rPr>
          <w:rFonts w:hint="eastAsia" w:ascii="宋体" w:hAnsi="宋体" w:eastAsia="宋体" w:cs="Times New Roman"/>
          <w:b/>
          <w:bCs/>
          <w:color w:val="auto"/>
          <w:sz w:val="28"/>
          <w:szCs w:val="28"/>
        </w:rPr>
        <w:t>4、</w:t>
      </w:r>
      <w:r>
        <w:rPr>
          <w:rFonts w:hint="eastAsia" w:ascii="仿宋" w:hAnsi="仿宋" w:eastAsia="仿宋" w:cs="Times New Roman"/>
          <w:b/>
          <w:bCs/>
          <w:color w:val="auto"/>
          <w:sz w:val="28"/>
          <w:szCs w:val="28"/>
        </w:rPr>
        <w:t>人随</w:t>
      </w:r>
      <w:r>
        <w:rPr>
          <w:rFonts w:hint="eastAsia" w:ascii="仿宋" w:hAnsi="仿宋" w:eastAsia="仿宋" w:cs="Times New Roman"/>
          <w:b/>
          <w:bCs/>
          <w:color w:val="auto"/>
          <w:sz w:val="28"/>
          <w:szCs w:val="28"/>
          <w:lang w:val="en-US" w:eastAsia="zh-CN"/>
        </w:rPr>
        <w:t>项目</w:t>
      </w:r>
      <w:r>
        <w:rPr>
          <w:rFonts w:hint="eastAsia" w:ascii="仿宋" w:hAnsi="仿宋" w:eastAsia="仿宋" w:cs="Times New Roman"/>
          <w:b/>
          <w:bCs/>
          <w:color w:val="auto"/>
          <w:sz w:val="28"/>
          <w:szCs w:val="28"/>
        </w:rPr>
        <w:t>走原则：</w:t>
      </w:r>
      <w:r>
        <w:rPr>
          <w:rFonts w:hint="eastAsia" w:ascii="仿宋" w:hAnsi="仿宋" w:eastAsia="仿宋" w:cs="Times New Roman"/>
          <w:b w:val="0"/>
          <w:bCs w:val="0"/>
          <w:color w:val="auto"/>
          <w:sz w:val="28"/>
          <w:szCs w:val="28"/>
          <w:lang w:val="en-US" w:eastAsia="zh-CN"/>
        </w:rPr>
        <w:t>涉及原</w:t>
      </w:r>
      <w:r>
        <w:rPr>
          <w:rFonts w:hint="eastAsia" w:ascii="仿宋" w:hAnsi="仿宋" w:eastAsia="仿宋" w:cs="Times New Roman"/>
          <w:b w:val="0"/>
          <w:bCs w:val="0"/>
          <w:color w:val="auto"/>
          <w:sz w:val="28"/>
          <w:szCs w:val="28"/>
        </w:rPr>
        <w:t>供</w:t>
      </w:r>
      <w:r>
        <w:rPr>
          <w:rFonts w:hint="eastAsia" w:ascii="仿宋" w:hAnsi="仿宋" w:eastAsia="仿宋" w:cs="Times New Roman"/>
          <w:color w:val="auto"/>
          <w:sz w:val="28"/>
          <w:szCs w:val="28"/>
        </w:rPr>
        <w:t>水业务</w:t>
      </w:r>
      <w:r>
        <w:rPr>
          <w:rFonts w:hint="eastAsia" w:ascii="仿宋" w:hAnsi="仿宋" w:eastAsia="仿宋" w:cs="Times New Roman"/>
          <w:color w:val="auto"/>
          <w:sz w:val="28"/>
          <w:szCs w:val="28"/>
          <w:lang w:val="en-US" w:eastAsia="zh-CN"/>
        </w:rPr>
        <w:t>所有</w:t>
      </w:r>
      <w:r>
        <w:rPr>
          <w:rFonts w:hint="eastAsia" w:ascii="仿宋" w:hAnsi="仿宋" w:eastAsia="仿宋" w:cs="Times New Roman"/>
          <w:color w:val="auto"/>
          <w:sz w:val="28"/>
          <w:szCs w:val="28"/>
        </w:rPr>
        <w:t>人员随</w:t>
      </w:r>
      <w:r>
        <w:rPr>
          <w:rFonts w:hint="eastAsia" w:ascii="仿宋" w:hAnsi="仿宋" w:eastAsia="仿宋" w:cs="Times New Roman"/>
          <w:color w:val="auto"/>
          <w:sz w:val="28"/>
          <w:szCs w:val="28"/>
          <w:lang w:val="en-US" w:eastAsia="zh-CN"/>
        </w:rPr>
        <w:t>特许经营项目</w:t>
      </w:r>
      <w:r>
        <w:rPr>
          <w:rFonts w:hint="eastAsia" w:ascii="仿宋" w:hAnsi="仿宋" w:eastAsia="仿宋" w:cs="Times New Roman"/>
          <w:color w:val="auto"/>
          <w:sz w:val="28"/>
          <w:szCs w:val="28"/>
        </w:rPr>
        <w:t>一并划转至</w:t>
      </w:r>
      <w:r>
        <w:rPr>
          <w:rFonts w:hint="eastAsia" w:ascii="仿宋" w:hAnsi="仿宋" w:eastAsia="仿宋" w:cs="Times New Roman"/>
          <w:color w:val="auto"/>
          <w:sz w:val="28"/>
          <w:szCs w:val="28"/>
          <w:lang w:val="en-US" w:eastAsia="zh-CN"/>
        </w:rPr>
        <w:t>新特许经营者</w:t>
      </w:r>
      <w:r>
        <w:rPr>
          <w:rFonts w:hint="eastAsia" w:ascii="仿宋" w:hAnsi="仿宋" w:eastAsia="仿宋" w:cs="Times New Roman"/>
          <w:color w:val="auto"/>
          <w:sz w:val="28"/>
          <w:szCs w:val="28"/>
        </w:rPr>
        <w:t>；</w:t>
      </w:r>
      <w:r>
        <w:rPr>
          <w:rFonts w:hint="eastAsia" w:ascii="宋体" w:hAnsi="宋体" w:eastAsia="宋体" w:cs="Times New Roman"/>
          <w:b/>
          <w:bCs/>
          <w:color w:val="auto"/>
          <w:sz w:val="28"/>
          <w:szCs w:val="28"/>
        </w:rPr>
        <w:t>5、</w:t>
      </w:r>
      <w:r>
        <w:rPr>
          <w:rFonts w:hint="eastAsia" w:ascii="仿宋" w:hAnsi="仿宋" w:eastAsia="仿宋" w:cs="Times New Roman"/>
          <w:b/>
          <w:bCs/>
          <w:color w:val="auto"/>
          <w:sz w:val="28"/>
          <w:szCs w:val="28"/>
        </w:rPr>
        <w:t>自愿选择原则：</w:t>
      </w:r>
      <w:r>
        <w:rPr>
          <w:rFonts w:hint="eastAsia" w:ascii="仿宋" w:hAnsi="仿宋" w:eastAsia="仿宋" w:cs="Times New Roman"/>
          <w:color w:val="auto"/>
          <w:sz w:val="28"/>
          <w:szCs w:val="28"/>
        </w:rPr>
        <w:t>尊重职工意愿，提供多种安置方式供选择。</w:t>
      </w:r>
    </w:p>
    <w:p w14:paraId="4090B642">
      <w:pPr>
        <w:pStyle w:val="4"/>
        <w:ind w:firstLine="643"/>
        <w:rPr>
          <w:color w:val="auto"/>
        </w:rPr>
      </w:pPr>
      <w:bookmarkStart w:id="19" w:name="_Toc24459"/>
      <w:r>
        <w:rPr>
          <w:rFonts w:hint="eastAsia"/>
          <w:color w:val="auto"/>
        </w:rPr>
        <w:t>（二）安置范围</w:t>
      </w:r>
      <w:bookmarkEnd w:id="19"/>
    </w:p>
    <w:p w14:paraId="0AACCF02">
      <w:pPr>
        <w:widowControl w:val="0"/>
        <w:ind w:firstLine="560" w:firstLineChars="200"/>
        <w:jc w:val="both"/>
        <w:rPr>
          <w:rFonts w:ascii="宋体" w:hAnsi="Courier New" w:eastAsia="仿宋" w:cs="Times New Roman"/>
          <w:color w:val="auto"/>
          <w:sz w:val="28"/>
          <w:szCs w:val="28"/>
        </w:rPr>
      </w:pPr>
      <w:r>
        <w:rPr>
          <w:rFonts w:hint="eastAsia" w:ascii="仿宋" w:hAnsi="仿宋" w:eastAsia="仿宋" w:cs="Times New Roman"/>
          <w:color w:val="auto"/>
          <w:sz w:val="28"/>
          <w:szCs w:val="28"/>
        </w:rPr>
        <w:t>从事</w:t>
      </w:r>
      <w:r>
        <w:rPr>
          <w:rFonts w:hint="eastAsia" w:ascii="仿宋" w:hAnsi="仿宋" w:eastAsia="仿宋" w:cs="Times New Roman"/>
          <w:color w:val="auto"/>
          <w:sz w:val="28"/>
          <w:szCs w:val="28"/>
          <w:lang w:val="en-US" w:eastAsia="zh-CN"/>
        </w:rPr>
        <w:t>城乡</w:t>
      </w:r>
      <w:r>
        <w:rPr>
          <w:rFonts w:hint="eastAsia" w:ascii="仿宋" w:hAnsi="仿宋" w:eastAsia="仿宋" w:cs="Times New Roman"/>
          <w:color w:val="auto"/>
          <w:sz w:val="28"/>
          <w:szCs w:val="28"/>
        </w:rPr>
        <w:t>供水运营的</w:t>
      </w:r>
      <w:r>
        <w:rPr>
          <w:rFonts w:hint="eastAsia" w:ascii="仿宋" w:hAnsi="仿宋" w:eastAsia="仿宋" w:cs="Times New Roman"/>
          <w:color w:val="auto"/>
          <w:sz w:val="28"/>
          <w:szCs w:val="28"/>
          <w:lang w:val="en-US" w:eastAsia="zh-CN"/>
        </w:rPr>
        <w:t>全部人员</w:t>
      </w:r>
      <w:r>
        <w:rPr>
          <w:rFonts w:hint="eastAsia" w:ascii="仿宋" w:hAnsi="仿宋" w:eastAsia="仿宋" w:cs="Times New Roman"/>
          <w:color w:val="auto"/>
          <w:sz w:val="28"/>
          <w:szCs w:val="28"/>
        </w:rPr>
        <w:t>，包括：管理人员：公司领导、中层干部、行政管理人员等；技术人员：工程师、技术员、化验员等；操作人员：泵工、电工、维修工、抄表员等；</w:t>
      </w:r>
      <w:r>
        <w:rPr>
          <w:rFonts w:hint="eastAsia" w:ascii="仿宋" w:hAnsi="仿宋" w:eastAsia="仿宋" w:cs="Times New Roman"/>
          <w:color w:val="auto"/>
          <w:sz w:val="28"/>
          <w:szCs w:val="28"/>
          <w:lang w:val="en-US" w:eastAsia="zh-CN"/>
        </w:rPr>
        <w:t>乡镇饮水站人员；</w:t>
      </w:r>
      <w:r>
        <w:rPr>
          <w:rFonts w:hint="eastAsia" w:ascii="仿宋" w:hAnsi="仿宋" w:eastAsia="仿宋" w:cs="Times New Roman"/>
          <w:color w:val="auto"/>
          <w:sz w:val="28"/>
          <w:szCs w:val="28"/>
        </w:rPr>
        <w:t>其他人员：后勤服务人员等。</w:t>
      </w:r>
    </w:p>
    <w:p w14:paraId="228E28B7">
      <w:pPr>
        <w:pStyle w:val="4"/>
        <w:ind w:firstLine="643"/>
        <w:rPr>
          <w:color w:val="auto"/>
        </w:rPr>
      </w:pPr>
      <w:bookmarkStart w:id="20" w:name="_Toc985"/>
      <w:r>
        <w:rPr>
          <w:rFonts w:hint="eastAsia"/>
          <w:color w:val="auto"/>
        </w:rPr>
        <w:t>（三）安置方式</w:t>
      </w:r>
      <w:bookmarkEnd w:id="20"/>
    </w:p>
    <w:p w14:paraId="42BCB5AB">
      <w:pPr>
        <w:widowControl w:val="0"/>
        <w:ind w:firstLine="562" w:firstLineChars="200"/>
        <w:rPr>
          <w:rFonts w:ascii="宋体" w:hAnsi="Courier New" w:eastAsia="仿宋" w:cs="Times New Roman"/>
          <w:color w:val="auto"/>
          <w:sz w:val="28"/>
          <w:szCs w:val="28"/>
        </w:rPr>
      </w:pPr>
      <w:r>
        <w:rPr>
          <w:rFonts w:hint="eastAsia" w:ascii="宋体" w:hAnsi="宋体" w:eastAsia="宋体" w:cs="Times New Roman"/>
          <w:b/>
          <w:bCs/>
          <w:color w:val="auto"/>
          <w:sz w:val="28"/>
          <w:szCs w:val="28"/>
        </w:rPr>
        <w:t>1、</w:t>
      </w:r>
      <w:r>
        <w:rPr>
          <w:rFonts w:hint="eastAsia" w:ascii="仿宋" w:hAnsi="仿宋" w:eastAsia="仿宋" w:cs="Times New Roman"/>
          <w:b/>
          <w:bCs/>
          <w:color w:val="auto"/>
          <w:sz w:val="28"/>
          <w:szCs w:val="28"/>
        </w:rPr>
        <w:t>整体划转：</w:t>
      </w:r>
      <w:r>
        <w:rPr>
          <w:rFonts w:hint="eastAsia" w:ascii="仿宋" w:hAnsi="仿宋" w:eastAsia="仿宋" w:cs="Times New Roman"/>
          <w:color w:val="auto"/>
          <w:sz w:val="28"/>
          <w:szCs w:val="28"/>
        </w:rPr>
        <w:t>供水业务相关人员整体划转至</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w:t>
      </w:r>
      <w:r>
        <w:rPr>
          <w:rFonts w:hint="eastAsia" w:ascii="宋体" w:hAnsi="宋体" w:eastAsia="宋体" w:cs="Times New Roman"/>
          <w:b/>
          <w:bCs/>
          <w:color w:val="auto"/>
          <w:sz w:val="28"/>
          <w:szCs w:val="28"/>
        </w:rPr>
        <w:t>2、</w:t>
      </w:r>
      <w:r>
        <w:rPr>
          <w:rFonts w:hint="eastAsia" w:ascii="仿宋" w:hAnsi="仿宋" w:eastAsia="仿宋" w:cs="Times New Roman"/>
          <w:b/>
          <w:bCs/>
          <w:color w:val="auto"/>
          <w:sz w:val="28"/>
          <w:szCs w:val="28"/>
        </w:rPr>
        <w:t>劳动合同转移：</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与划转人员重新签订劳动合同；原工作年限连续计算，不支付经济补偿金；劳动合同期限不少于原合同剩余期限。</w:t>
      </w:r>
      <w:r>
        <w:rPr>
          <w:rFonts w:hint="eastAsia" w:ascii="宋体" w:hAnsi="宋体" w:eastAsia="宋体" w:cs="Times New Roman"/>
          <w:b/>
          <w:bCs/>
          <w:color w:val="auto"/>
          <w:sz w:val="28"/>
          <w:szCs w:val="28"/>
        </w:rPr>
        <w:t>3、</w:t>
      </w:r>
      <w:r>
        <w:rPr>
          <w:rFonts w:hint="eastAsia" w:ascii="仿宋" w:hAnsi="仿宋" w:eastAsia="仿宋" w:cs="Times New Roman"/>
          <w:b/>
          <w:bCs/>
          <w:color w:val="auto"/>
          <w:sz w:val="28"/>
          <w:szCs w:val="28"/>
        </w:rPr>
        <w:t>薪酬待遇：</w:t>
      </w:r>
      <w:r>
        <w:rPr>
          <w:rFonts w:hint="eastAsia" w:ascii="仿宋" w:hAnsi="仿宋" w:eastAsia="仿宋" w:cs="Times New Roman"/>
          <w:color w:val="auto"/>
          <w:sz w:val="28"/>
          <w:szCs w:val="28"/>
        </w:rPr>
        <w:t>划转人员纳入</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市场化薪酬体系；薪酬水平不低于原单位标准；建立绩效考核机制，实行绩效工资；享受</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同等福利待遇。</w:t>
      </w:r>
      <w:r>
        <w:rPr>
          <w:rFonts w:hint="eastAsia" w:ascii="宋体" w:hAnsi="宋体" w:eastAsia="宋体" w:cs="Times New Roman"/>
          <w:b/>
          <w:bCs/>
          <w:color w:val="auto"/>
          <w:sz w:val="28"/>
          <w:szCs w:val="28"/>
        </w:rPr>
        <w:t>4、</w:t>
      </w:r>
      <w:r>
        <w:rPr>
          <w:rFonts w:hint="eastAsia" w:ascii="仿宋" w:hAnsi="仿宋" w:eastAsia="仿宋" w:cs="Times New Roman"/>
          <w:b/>
          <w:bCs/>
          <w:color w:val="auto"/>
          <w:sz w:val="28"/>
          <w:szCs w:val="28"/>
        </w:rPr>
        <w:t>社会保险：</w:t>
      </w:r>
      <w:r>
        <w:rPr>
          <w:rFonts w:hint="eastAsia" w:ascii="仿宋" w:hAnsi="仿宋" w:eastAsia="仿宋" w:cs="Times New Roman"/>
          <w:color w:val="auto"/>
          <w:sz w:val="28"/>
          <w:szCs w:val="28"/>
        </w:rPr>
        <w:t>社会保险关系转移至</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；缴费基数和比例按国家规定执行；确保社会保险缴费不中断。</w:t>
      </w:r>
      <w:r>
        <w:rPr>
          <w:rFonts w:hint="eastAsia" w:ascii="宋体" w:hAnsi="宋体" w:eastAsia="宋体" w:cs="Times New Roman"/>
          <w:b/>
          <w:bCs/>
          <w:color w:val="auto"/>
          <w:sz w:val="28"/>
          <w:szCs w:val="28"/>
        </w:rPr>
        <w:t>5、</w:t>
      </w:r>
      <w:r>
        <w:rPr>
          <w:rFonts w:hint="eastAsia" w:ascii="仿宋" w:hAnsi="仿宋" w:eastAsia="仿宋" w:cs="Times New Roman"/>
          <w:b/>
          <w:bCs/>
          <w:color w:val="auto"/>
          <w:sz w:val="28"/>
          <w:szCs w:val="28"/>
        </w:rPr>
        <w:t>住房公积金：</w:t>
      </w:r>
      <w:r>
        <w:rPr>
          <w:rFonts w:hint="eastAsia" w:ascii="仿宋" w:hAnsi="仿宋" w:eastAsia="仿宋" w:cs="Times New Roman"/>
          <w:color w:val="auto"/>
          <w:sz w:val="28"/>
          <w:szCs w:val="28"/>
        </w:rPr>
        <w:t>住房公积金账户转移至</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；缴存比例不低于原标准。</w:t>
      </w:r>
      <w:r>
        <w:rPr>
          <w:rFonts w:hint="eastAsia" w:ascii="宋体" w:hAnsi="宋体" w:eastAsia="宋体" w:cs="Times New Roman"/>
          <w:b/>
          <w:bCs/>
          <w:color w:val="auto"/>
          <w:sz w:val="28"/>
          <w:szCs w:val="28"/>
        </w:rPr>
        <w:t>6、</w:t>
      </w:r>
      <w:r>
        <w:rPr>
          <w:rFonts w:hint="eastAsia" w:ascii="仿宋" w:hAnsi="仿宋" w:eastAsia="仿宋" w:cs="Times New Roman"/>
          <w:b/>
          <w:bCs/>
          <w:color w:val="auto"/>
          <w:sz w:val="28"/>
          <w:szCs w:val="28"/>
        </w:rPr>
        <w:t>其他待遇：</w:t>
      </w:r>
      <w:r>
        <w:rPr>
          <w:rFonts w:hint="eastAsia" w:ascii="仿宋" w:hAnsi="仿宋" w:eastAsia="仿宋" w:cs="Times New Roman"/>
          <w:color w:val="auto"/>
          <w:sz w:val="28"/>
          <w:szCs w:val="28"/>
        </w:rPr>
        <w:t>保留原单位工龄，享受带薪年休假；享受</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同等培训、晋升机会；符合条件的，可申请提前退休或内部退养。</w:t>
      </w:r>
    </w:p>
    <w:p w14:paraId="5C923C02">
      <w:pPr>
        <w:pStyle w:val="4"/>
        <w:ind w:firstLine="643"/>
        <w:rPr>
          <w:color w:val="auto"/>
        </w:rPr>
      </w:pPr>
      <w:bookmarkStart w:id="21" w:name="_Toc5038"/>
      <w:r>
        <w:rPr>
          <w:rFonts w:hint="eastAsia"/>
          <w:color w:val="auto"/>
        </w:rPr>
        <w:t>（四）社会保障</w:t>
      </w:r>
      <w:bookmarkEnd w:id="21"/>
    </w:p>
    <w:p w14:paraId="7114FF3A">
      <w:pPr>
        <w:widowControl w:val="0"/>
        <w:ind w:firstLine="562" w:firstLineChars="200"/>
        <w:rPr>
          <w:rFonts w:ascii="宋体" w:hAnsi="Courier New" w:eastAsia="仿宋" w:cs="Times New Roman"/>
          <w:color w:val="auto"/>
          <w:sz w:val="28"/>
          <w:szCs w:val="28"/>
        </w:rPr>
      </w:pPr>
      <w:r>
        <w:rPr>
          <w:rFonts w:hint="eastAsia" w:ascii="宋体" w:hAnsi="宋体" w:eastAsia="宋体" w:cs="Times New Roman"/>
          <w:b/>
          <w:bCs/>
          <w:color w:val="auto"/>
          <w:sz w:val="28"/>
          <w:szCs w:val="28"/>
        </w:rPr>
        <w:t>1、</w:t>
      </w:r>
      <w:r>
        <w:rPr>
          <w:rFonts w:hint="eastAsia" w:ascii="仿宋" w:hAnsi="仿宋" w:eastAsia="仿宋" w:cs="Times New Roman"/>
          <w:b/>
          <w:bCs/>
          <w:color w:val="auto"/>
          <w:sz w:val="28"/>
          <w:szCs w:val="28"/>
        </w:rPr>
        <w:t>养老保险：</w:t>
      </w:r>
      <w:r>
        <w:rPr>
          <w:rFonts w:hint="eastAsia" w:ascii="仿宋" w:hAnsi="仿宋" w:eastAsia="仿宋" w:cs="Times New Roman"/>
          <w:color w:val="auto"/>
          <w:sz w:val="28"/>
          <w:szCs w:val="28"/>
        </w:rPr>
        <w:t>划转人员养老保险关系转移至</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；缴费年限连续计算；退休待遇按国家规定执行。</w:t>
      </w:r>
      <w:r>
        <w:rPr>
          <w:rFonts w:hint="eastAsia" w:ascii="宋体" w:hAnsi="宋体" w:eastAsia="宋体" w:cs="Times New Roman"/>
          <w:b/>
          <w:bCs/>
          <w:color w:val="auto"/>
          <w:sz w:val="28"/>
          <w:szCs w:val="28"/>
        </w:rPr>
        <w:t>2、</w:t>
      </w:r>
      <w:r>
        <w:rPr>
          <w:rFonts w:hint="eastAsia" w:ascii="仿宋" w:hAnsi="仿宋" w:eastAsia="仿宋" w:cs="Times New Roman"/>
          <w:b/>
          <w:bCs/>
          <w:color w:val="auto"/>
          <w:sz w:val="28"/>
          <w:szCs w:val="28"/>
        </w:rPr>
        <w:t>医疗保险：</w:t>
      </w:r>
      <w:r>
        <w:rPr>
          <w:rFonts w:hint="eastAsia" w:ascii="仿宋" w:hAnsi="仿宋" w:eastAsia="仿宋" w:cs="Times New Roman"/>
          <w:color w:val="auto"/>
          <w:sz w:val="28"/>
          <w:szCs w:val="28"/>
        </w:rPr>
        <w:t>划转人员医疗保险关系转移至</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；享受医疗保险待遇；医疗费用报销按国家规定执行。</w:t>
      </w:r>
      <w:r>
        <w:rPr>
          <w:rFonts w:hint="eastAsia" w:ascii="宋体" w:hAnsi="宋体" w:eastAsia="宋体" w:cs="Times New Roman"/>
          <w:b/>
          <w:bCs/>
          <w:color w:val="auto"/>
          <w:sz w:val="28"/>
          <w:szCs w:val="28"/>
        </w:rPr>
        <w:t>3、</w:t>
      </w:r>
      <w:r>
        <w:rPr>
          <w:rFonts w:hint="eastAsia" w:ascii="仿宋" w:hAnsi="仿宋" w:eastAsia="仿宋" w:cs="Times New Roman"/>
          <w:b/>
          <w:bCs/>
          <w:color w:val="auto"/>
          <w:sz w:val="28"/>
          <w:szCs w:val="28"/>
        </w:rPr>
        <w:t>失业保险：</w:t>
      </w:r>
      <w:r>
        <w:rPr>
          <w:rFonts w:hint="eastAsia" w:ascii="仿宋" w:hAnsi="仿宋" w:eastAsia="仿宋" w:cs="Times New Roman"/>
          <w:color w:val="auto"/>
          <w:sz w:val="28"/>
          <w:szCs w:val="28"/>
        </w:rPr>
        <w:t>划转人员失业保险关系转移至</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；失业后可按规定领取失业保险金。</w:t>
      </w:r>
      <w:r>
        <w:rPr>
          <w:rFonts w:hint="eastAsia" w:ascii="宋体" w:hAnsi="宋体" w:eastAsia="宋体" w:cs="Times New Roman"/>
          <w:b/>
          <w:bCs/>
          <w:color w:val="auto"/>
          <w:sz w:val="28"/>
          <w:szCs w:val="28"/>
        </w:rPr>
        <w:t>4、</w:t>
      </w:r>
      <w:r>
        <w:rPr>
          <w:rFonts w:hint="eastAsia" w:ascii="仿宋" w:hAnsi="仿宋" w:eastAsia="仿宋" w:cs="Times New Roman"/>
          <w:b/>
          <w:bCs/>
          <w:color w:val="auto"/>
          <w:sz w:val="28"/>
          <w:szCs w:val="28"/>
        </w:rPr>
        <w:t>工伤保险：</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为划转人员办理工伤保险；发生工伤事故，按《工伤保险条例》处理。</w:t>
      </w:r>
      <w:r>
        <w:rPr>
          <w:rFonts w:hint="eastAsia" w:ascii="宋体" w:hAnsi="宋体" w:eastAsia="宋体" w:cs="Times New Roman"/>
          <w:b/>
          <w:bCs/>
          <w:color w:val="auto"/>
          <w:sz w:val="28"/>
          <w:szCs w:val="28"/>
        </w:rPr>
        <w:t>5、</w:t>
      </w:r>
      <w:r>
        <w:rPr>
          <w:rFonts w:hint="eastAsia" w:ascii="仿宋" w:hAnsi="仿宋" w:eastAsia="仿宋" w:cs="Times New Roman"/>
          <w:b/>
          <w:bCs/>
          <w:color w:val="auto"/>
          <w:sz w:val="28"/>
          <w:szCs w:val="28"/>
        </w:rPr>
        <w:t>生育保险：</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为划转人员办理生育保险；生育待遇按国家规定执行。</w:t>
      </w:r>
    </w:p>
    <w:p w14:paraId="4D90407E">
      <w:pPr>
        <w:pStyle w:val="4"/>
        <w:ind w:firstLine="643"/>
        <w:rPr>
          <w:color w:val="auto"/>
        </w:rPr>
      </w:pPr>
      <w:bookmarkStart w:id="22" w:name="_Toc14753"/>
      <w:r>
        <w:rPr>
          <w:rFonts w:hint="eastAsia"/>
          <w:color w:val="auto"/>
        </w:rPr>
        <w:t>（五）劳动关系处理</w:t>
      </w:r>
      <w:bookmarkEnd w:id="22"/>
    </w:p>
    <w:p w14:paraId="3206F552">
      <w:pPr>
        <w:widowControl w:val="0"/>
        <w:ind w:firstLine="562" w:firstLineChars="200"/>
        <w:rPr>
          <w:rFonts w:hint="eastAsia" w:ascii="仿宋" w:hAnsi="仿宋" w:eastAsia="仿宋"/>
          <w:color w:val="auto"/>
          <w:sz w:val="28"/>
        </w:rPr>
      </w:pPr>
      <w:r>
        <w:rPr>
          <w:rFonts w:hint="eastAsia" w:ascii="宋体" w:hAnsi="宋体" w:eastAsia="宋体" w:cs="Times New Roman"/>
          <w:b/>
          <w:bCs/>
          <w:color w:val="auto"/>
          <w:sz w:val="28"/>
          <w:szCs w:val="28"/>
        </w:rPr>
        <w:t>1、</w:t>
      </w:r>
      <w:r>
        <w:rPr>
          <w:rFonts w:hint="eastAsia" w:ascii="仿宋" w:hAnsi="仿宋" w:eastAsia="仿宋" w:cs="Times New Roman"/>
          <w:b/>
          <w:bCs/>
          <w:color w:val="auto"/>
          <w:sz w:val="28"/>
          <w:szCs w:val="28"/>
        </w:rPr>
        <w:t>劳动合同签订：</w:t>
      </w:r>
      <w:r>
        <w:rPr>
          <w:rFonts w:hint="eastAsia" w:ascii="仿宋" w:hAnsi="仿宋" w:eastAsia="仿宋" w:cs="Times New Roman"/>
          <w:color w:val="auto"/>
          <w:sz w:val="28"/>
          <w:szCs w:val="28"/>
          <w:lang w:eastAsia="zh-CN"/>
        </w:rPr>
        <w:t>特许经营者</w:t>
      </w:r>
      <w:r>
        <w:rPr>
          <w:rFonts w:hint="eastAsia" w:ascii="仿宋" w:hAnsi="仿宋" w:eastAsia="仿宋" w:cs="Times New Roman"/>
          <w:color w:val="auto"/>
          <w:sz w:val="28"/>
          <w:szCs w:val="28"/>
        </w:rPr>
        <w:t>与划转人员重新签订劳动合同；劳动合同期限不低于原合同期限。</w:t>
      </w:r>
      <w:r>
        <w:rPr>
          <w:rFonts w:hint="eastAsia" w:ascii="宋体" w:hAnsi="宋体" w:eastAsia="宋体" w:cs="Times New Roman"/>
          <w:b/>
          <w:bCs/>
          <w:color w:val="auto"/>
          <w:sz w:val="28"/>
          <w:szCs w:val="28"/>
        </w:rPr>
        <w:t>2、</w:t>
      </w:r>
      <w:r>
        <w:rPr>
          <w:rFonts w:hint="eastAsia" w:ascii="仿宋" w:hAnsi="仿宋" w:eastAsia="仿宋" w:cs="Times New Roman"/>
          <w:b/>
          <w:bCs/>
          <w:color w:val="auto"/>
          <w:sz w:val="28"/>
          <w:szCs w:val="28"/>
        </w:rPr>
        <w:t>工作岗位安排：</w:t>
      </w:r>
      <w:r>
        <w:rPr>
          <w:rFonts w:hint="eastAsia" w:ascii="仿宋" w:hAnsi="仿宋" w:eastAsia="仿宋" w:cs="Times New Roman"/>
          <w:color w:val="auto"/>
          <w:sz w:val="28"/>
          <w:szCs w:val="28"/>
        </w:rPr>
        <w:t>根据划转人员专业特长安排工作岗位；保持原岗位基本不变；提供必要的岗前培训。</w:t>
      </w:r>
      <w:r>
        <w:rPr>
          <w:rFonts w:hint="eastAsia" w:ascii="宋体" w:hAnsi="Courier New" w:eastAsia="仿宋" w:cs="Times New Roman"/>
          <w:b/>
          <w:bCs/>
          <w:color w:val="auto"/>
          <w:sz w:val="28"/>
          <w:szCs w:val="28"/>
        </w:rPr>
        <w:t>3</w:t>
      </w:r>
      <w:r>
        <w:rPr>
          <w:rFonts w:hint="eastAsia" w:ascii="宋体" w:hAnsi="宋体" w:eastAsia="宋体" w:cs="Times New Roman"/>
          <w:b/>
          <w:bCs/>
          <w:color w:val="auto"/>
          <w:sz w:val="28"/>
          <w:szCs w:val="28"/>
        </w:rPr>
        <w:t>、</w:t>
      </w:r>
      <w:r>
        <w:rPr>
          <w:rFonts w:hint="eastAsia" w:ascii="仿宋" w:hAnsi="仿宋" w:eastAsia="仿宋" w:cs="Times New Roman"/>
          <w:b/>
          <w:bCs/>
          <w:color w:val="auto"/>
          <w:sz w:val="28"/>
          <w:szCs w:val="28"/>
        </w:rPr>
        <w:t>劳动争议处理</w:t>
      </w:r>
      <w:r>
        <w:rPr>
          <w:rFonts w:hint="eastAsia" w:ascii="宋体" w:hAnsi="宋体" w:eastAsia="宋体" w:cs="Times New Roman"/>
          <w:b/>
          <w:bCs/>
          <w:color w:val="auto"/>
          <w:sz w:val="28"/>
          <w:szCs w:val="28"/>
        </w:rPr>
        <w:t>：</w:t>
      </w:r>
      <w:r>
        <w:rPr>
          <w:rFonts w:hint="eastAsia" w:ascii="仿宋" w:hAnsi="仿宋" w:eastAsia="仿宋" w:cs="Times New Roman"/>
          <w:color w:val="auto"/>
          <w:sz w:val="28"/>
          <w:szCs w:val="28"/>
        </w:rPr>
        <w:t>建立劳动争议调解机制；依法处理劳动争议；维护职工合法权益。</w:t>
      </w:r>
      <w:r>
        <w:rPr>
          <w:rFonts w:hint="eastAsia" w:ascii="宋体" w:hAnsi="宋体" w:eastAsia="宋体" w:cs="Times New Roman"/>
          <w:b/>
          <w:bCs/>
          <w:color w:val="auto"/>
          <w:sz w:val="28"/>
          <w:szCs w:val="28"/>
        </w:rPr>
        <w:t>4、</w:t>
      </w:r>
      <w:r>
        <w:rPr>
          <w:rFonts w:hint="eastAsia" w:ascii="仿宋" w:hAnsi="仿宋" w:eastAsia="仿宋" w:cs="Times New Roman"/>
          <w:b/>
          <w:bCs/>
          <w:color w:val="auto"/>
          <w:sz w:val="28"/>
          <w:szCs w:val="28"/>
        </w:rPr>
        <w:t>退出机制：</w:t>
      </w:r>
      <w:r>
        <w:rPr>
          <w:rFonts w:hint="eastAsia" w:ascii="仿宋" w:hAnsi="仿宋" w:eastAsia="仿宋" w:cs="Times New Roman"/>
          <w:color w:val="auto"/>
          <w:sz w:val="28"/>
          <w:szCs w:val="28"/>
        </w:rPr>
        <w:t>达到法定退休年龄的，办理退休手续；符合提前退休条件的，可申请提前退休；因个人原因申请离职的，按程序办理。</w:t>
      </w:r>
    </w:p>
    <w:p w14:paraId="33B1CAA5">
      <w:pPr>
        <w:pStyle w:val="3"/>
        <w:rPr>
          <w:rFonts w:hint="eastAsia"/>
          <w:color w:val="auto"/>
        </w:rPr>
      </w:pPr>
      <w:bookmarkStart w:id="23" w:name="_Toc9314"/>
      <w:r>
        <w:rPr>
          <w:rFonts w:hint="eastAsia"/>
          <w:color w:val="auto"/>
          <w:lang w:val="en-US" w:eastAsia="zh-CN"/>
        </w:rPr>
        <w:t>六</w:t>
      </w:r>
      <w:r>
        <w:rPr>
          <w:rFonts w:hint="eastAsia"/>
          <w:color w:val="auto"/>
        </w:rPr>
        <w:t>、操作流程</w:t>
      </w:r>
      <w:bookmarkEnd w:id="23"/>
    </w:p>
    <w:p w14:paraId="46B7FBED">
      <w:pPr>
        <w:pStyle w:val="4"/>
        <w:ind w:firstLine="643"/>
        <w:rPr>
          <w:color w:val="auto"/>
        </w:rPr>
      </w:pPr>
      <w:bookmarkStart w:id="24" w:name="_Toc30596"/>
      <w:r>
        <w:rPr>
          <w:rFonts w:hint="eastAsia"/>
          <w:color w:val="auto"/>
        </w:rPr>
        <w:t>（一）项目立项阶段（第1个月）</w:t>
      </w:r>
      <w:bookmarkEnd w:id="24"/>
    </w:p>
    <w:p w14:paraId="1B4880BA">
      <w:pPr>
        <w:ind w:firstLine="562" w:firstLineChars="200"/>
        <w:rPr>
          <w:rFonts w:hint="eastAsia" w:ascii="仿宋" w:hAnsi="仿宋" w:eastAsia="仿宋"/>
          <w:color w:val="auto"/>
          <w:sz w:val="28"/>
        </w:rPr>
      </w:pPr>
      <w:r>
        <w:rPr>
          <w:rFonts w:hint="eastAsia" w:ascii="仿宋" w:hAnsi="仿宋" w:eastAsia="仿宋"/>
          <w:b/>
          <w:bCs/>
          <w:color w:val="auto"/>
          <w:sz w:val="28"/>
        </w:rPr>
        <w:t>1、资产梳理：</w:t>
      </w:r>
      <w:r>
        <w:rPr>
          <w:rFonts w:hint="eastAsia" w:ascii="仿宋" w:hAnsi="仿宋" w:eastAsia="仿宋"/>
          <w:color w:val="auto"/>
          <w:sz w:val="28"/>
        </w:rPr>
        <w:t>完成清产核资、资产评估。明确可授权的资源范围含</w:t>
      </w:r>
      <w:r>
        <w:rPr>
          <w:rFonts w:hint="eastAsia" w:ascii="仿宋" w:hAnsi="仿宋" w:eastAsia="仿宋"/>
          <w:color w:val="auto"/>
          <w:sz w:val="28"/>
          <w:lang w:eastAsia="zh-CN"/>
        </w:rPr>
        <w:t>供水</w:t>
      </w:r>
      <w:r>
        <w:rPr>
          <w:rFonts w:hint="eastAsia" w:ascii="仿宋" w:hAnsi="仿宋" w:eastAsia="仿宋"/>
          <w:color w:val="auto"/>
          <w:sz w:val="28"/>
        </w:rPr>
        <w:t>收费权、经营权及配套运营设备占用权（不含所有权）。</w:t>
      </w:r>
      <w:r>
        <w:rPr>
          <w:rFonts w:hint="eastAsia" w:ascii="仿宋" w:hAnsi="仿宋" w:eastAsia="仿宋"/>
          <w:b/>
          <w:bCs/>
          <w:color w:val="auto"/>
          <w:sz w:val="28"/>
        </w:rPr>
        <w:t>2、方案编制：</w:t>
      </w:r>
      <w:r>
        <w:rPr>
          <w:rFonts w:hint="eastAsia" w:ascii="仿宋" w:hAnsi="仿宋" w:eastAsia="仿宋"/>
          <w:color w:val="auto"/>
          <w:sz w:val="28"/>
        </w:rPr>
        <w:t>论证项目可行性，委托第三方咨询公司论证引入投资人，报县政府批准确定实施单位，负责制订实施方案、项目招标、合同签订、收益监管及特许经营全周期管理。</w:t>
      </w:r>
    </w:p>
    <w:p w14:paraId="477F19F0">
      <w:pPr>
        <w:pStyle w:val="4"/>
        <w:ind w:firstLine="643"/>
        <w:rPr>
          <w:color w:val="auto"/>
        </w:rPr>
      </w:pPr>
      <w:bookmarkStart w:id="25" w:name="_Toc2140"/>
      <w:r>
        <w:rPr>
          <w:rFonts w:hint="eastAsia"/>
          <w:color w:val="auto"/>
        </w:rPr>
        <w:t>（二）招标准备阶段（第2个月）</w:t>
      </w:r>
      <w:bookmarkEnd w:id="25"/>
    </w:p>
    <w:p w14:paraId="7212F921">
      <w:pPr>
        <w:ind w:firstLine="562" w:firstLineChars="200"/>
        <w:rPr>
          <w:rFonts w:hint="eastAsia" w:ascii="仿宋" w:hAnsi="仿宋" w:eastAsia="仿宋"/>
          <w:color w:val="auto"/>
          <w:sz w:val="28"/>
        </w:rPr>
      </w:pPr>
      <w:r>
        <w:rPr>
          <w:rFonts w:hint="eastAsia" w:ascii="仿宋" w:hAnsi="仿宋" w:eastAsia="仿宋"/>
          <w:b/>
          <w:bCs/>
          <w:color w:val="auto"/>
          <w:sz w:val="28"/>
        </w:rPr>
        <w:t>1、招标文件编制：</w:t>
      </w:r>
      <w:r>
        <w:rPr>
          <w:rFonts w:hint="eastAsia" w:ascii="仿宋" w:hAnsi="仿宋" w:eastAsia="仿宋"/>
          <w:color w:val="auto"/>
          <w:sz w:val="28"/>
        </w:rPr>
        <w:t>明确投标人资格，允许投资人单独投标后与</w:t>
      </w:r>
      <w:r>
        <w:rPr>
          <w:rFonts w:hint="eastAsia" w:ascii="仿宋" w:hAnsi="仿宋" w:eastAsia="仿宋"/>
          <w:color w:val="auto"/>
          <w:sz w:val="28"/>
          <w:lang w:val="en-US" w:eastAsia="zh-CN"/>
        </w:rPr>
        <w:t>国企</w:t>
      </w:r>
      <w:r>
        <w:rPr>
          <w:rFonts w:hint="eastAsia" w:ascii="仿宋" w:hAnsi="仿宋" w:eastAsia="仿宋"/>
          <w:color w:val="auto"/>
          <w:sz w:val="28"/>
        </w:rPr>
        <w:t>签订新</w:t>
      </w:r>
      <w:r>
        <w:rPr>
          <w:rFonts w:hint="eastAsia" w:ascii="仿宋" w:hAnsi="仿宋" w:eastAsia="仿宋"/>
          <w:color w:val="auto"/>
          <w:sz w:val="28"/>
          <w:lang w:eastAsia="zh-CN"/>
        </w:rPr>
        <w:t>特许经营者</w:t>
      </w:r>
      <w:r>
        <w:rPr>
          <w:rFonts w:hint="eastAsia" w:ascii="仿宋" w:hAnsi="仿宋" w:eastAsia="仿宋"/>
          <w:color w:val="auto"/>
          <w:sz w:val="28"/>
        </w:rPr>
        <w:t>入股协议</w:t>
      </w:r>
      <w:r>
        <w:rPr>
          <w:rFonts w:hint="eastAsia" w:ascii="仿宋" w:hAnsi="仿宋" w:eastAsia="仿宋"/>
          <w:color w:val="auto"/>
          <w:sz w:val="28"/>
          <w:lang w:eastAsia="zh-CN"/>
        </w:rPr>
        <w:t>。</w:t>
      </w:r>
      <w:r>
        <w:rPr>
          <w:rFonts w:hint="eastAsia" w:ascii="仿宋" w:hAnsi="仿宋" w:eastAsia="仿宋"/>
          <w:color w:val="auto"/>
          <w:sz w:val="28"/>
          <w:lang w:val="en-US" w:eastAsia="zh-CN"/>
        </w:rPr>
        <w:t>2</w:t>
      </w:r>
      <w:r>
        <w:rPr>
          <w:rFonts w:hint="eastAsia" w:ascii="仿宋" w:hAnsi="仿宋" w:eastAsia="仿宋"/>
          <w:color w:val="auto"/>
          <w:sz w:val="28"/>
        </w:rPr>
        <w:t>、</w:t>
      </w:r>
      <w:r>
        <w:rPr>
          <w:rFonts w:hint="eastAsia" w:ascii="仿宋" w:hAnsi="仿宋" w:eastAsia="仿宋"/>
          <w:b/>
          <w:color w:val="auto"/>
          <w:sz w:val="28"/>
        </w:rPr>
        <w:t>人员整合安置</w:t>
      </w:r>
      <w:r>
        <w:rPr>
          <w:rFonts w:hint="eastAsia" w:ascii="仿宋" w:hAnsi="仿宋" w:eastAsia="仿宋"/>
          <w:b/>
          <w:bCs/>
          <w:color w:val="auto"/>
          <w:sz w:val="28"/>
        </w:rPr>
        <w:t>：</w:t>
      </w:r>
      <w:r>
        <w:rPr>
          <w:rFonts w:hint="eastAsia" w:ascii="仿宋" w:hAnsi="仿宋" w:eastAsia="仿宋"/>
          <w:color w:val="auto"/>
          <w:sz w:val="28"/>
        </w:rPr>
        <w:t>从事</w:t>
      </w:r>
      <w:r>
        <w:rPr>
          <w:rFonts w:hint="eastAsia" w:ascii="仿宋" w:hAnsi="仿宋" w:eastAsia="仿宋"/>
          <w:color w:val="auto"/>
          <w:sz w:val="28"/>
          <w:lang w:val="en-US" w:eastAsia="zh-CN"/>
        </w:rPr>
        <w:t>城乡</w:t>
      </w:r>
      <w:r>
        <w:rPr>
          <w:rFonts w:hint="eastAsia" w:ascii="仿宋" w:hAnsi="仿宋" w:eastAsia="仿宋"/>
          <w:color w:val="auto"/>
          <w:sz w:val="28"/>
          <w:lang w:eastAsia="zh-CN"/>
        </w:rPr>
        <w:t>供水</w:t>
      </w:r>
      <w:r>
        <w:rPr>
          <w:rFonts w:hint="eastAsia" w:ascii="仿宋" w:hAnsi="仿宋" w:eastAsia="仿宋"/>
          <w:color w:val="auto"/>
          <w:sz w:val="28"/>
        </w:rPr>
        <w:t>运营的</w:t>
      </w:r>
      <w:r>
        <w:rPr>
          <w:rFonts w:hint="eastAsia" w:ascii="仿宋" w:hAnsi="仿宋" w:eastAsia="仿宋"/>
          <w:color w:val="auto"/>
          <w:sz w:val="28"/>
          <w:lang w:val="en-US" w:eastAsia="zh-CN"/>
        </w:rPr>
        <w:t>全部</w:t>
      </w:r>
      <w:r>
        <w:rPr>
          <w:rFonts w:hint="eastAsia" w:ascii="仿宋" w:hAnsi="仿宋" w:eastAsia="仿宋"/>
          <w:color w:val="auto"/>
          <w:sz w:val="28"/>
        </w:rPr>
        <w:t>人员</w:t>
      </w:r>
      <w:r>
        <w:rPr>
          <w:rFonts w:hint="eastAsia" w:ascii="仿宋" w:hAnsi="仿宋" w:eastAsia="仿宋"/>
          <w:color w:val="auto"/>
          <w:sz w:val="28"/>
          <w:lang w:val="en-US" w:eastAsia="zh-CN"/>
        </w:rPr>
        <w:t>全部</w:t>
      </w:r>
      <w:r>
        <w:rPr>
          <w:rFonts w:hint="eastAsia" w:ascii="仿宋" w:hAnsi="仿宋" w:eastAsia="仿宋"/>
          <w:color w:val="auto"/>
          <w:sz w:val="28"/>
        </w:rPr>
        <w:t>划转入新</w:t>
      </w:r>
      <w:r>
        <w:rPr>
          <w:rFonts w:hint="eastAsia" w:ascii="仿宋" w:hAnsi="仿宋" w:eastAsia="仿宋"/>
          <w:color w:val="auto"/>
          <w:sz w:val="28"/>
          <w:lang w:eastAsia="zh-CN"/>
        </w:rPr>
        <w:t>供水</w:t>
      </w:r>
      <w:r>
        <w:rPr>
          <w:rFonts w:hint="eastAsia" w:ascii="仿宋" w:hAnsi="仿宋" w:eastAsia="仿宋"/>
          <w:color w:val="auto"/>
          <w:sz w:val="28"/>
        </w:rPr>
        <w:t>公司，保留国企员工身份，部分借用关系，纳入市场化薪酬体系</w:t>
      </w:r>
      <w:r>
        <w:rPr>
          <w:rFonts w:ascii="仿宋" w:hAnsi="仿宋" w:eastAsia="仿宋"/>
          <w:color w:val="auto"/>
          <w:sz w:val="28"/>
        </w:rPr>
        <w:t>。</w:t>
      </w:r>
    </w:p>
    <w:p w14:paraId="5CEC6B3C">
      <w:pPr>
        <w:pStyle w:val="4"/>
        <w:ind w:firstLine="643"/>
        <w:rPr>
          <w:color w:val="auto"/>
        </w:rPr>
      </w:pPr>
      <w:bookmarkStart w:id="26" w:name="_Toc10701"/>
      <w:r>
        <w:rPr>
          <w:rFonts w:hint="eastAsia"/>
          <w:color w:val="auto"/>
        </w:rPr>
        <w:t>（三）招标采购阶段（第3~5个月）</w:t>
      </w:r>
      <w:bookmarkEnd w:id="26"/>
    </w:p>
    <w:p w14:paraId="74DACD90">
      <w:pPr>
        <w:ind w:firstLine="562" w:firstLineChars="200"/>
        <w:rPr>
          <w:rFonts w:hint="eastAsia" w:ascii="仿宋" w:hAnsi="仿宋" w:eastAsia="仿宋"/>
          <w:b/>
          <w:bCs/>
          <w:color w:val="auto"/>
          <w:sz w:val="28"/>
        </w:rPr>
      </w:pPr>
      <w:r>
        <w:rPr>
          <w:rFonts w:ascii="仿宋" w:hAnsi="仿宋" w:eastAsia="仿宋"/>
          <w:b/>
          <w:bCs/>
          <w:color w:val="auto"/>
          <w:sz w:val="28"/>
        </w:rPr>
        <w:t>1、发布公告：</w:t>
      </w:r>
      <w:r>
        <w:rPr>
          <w:rFonts w:ascii="仿宋" w:hAnsi="仿宋" w:eastAsia="仿宋"/>
          <w:bCs/>
          <w:color w:val="auto"/>
          <w:sz w:val="28"/>
        </w:rPr>
        <w:t>通过政府公共资源交易平台</w:t>
      </w:r>
      <w:r>
        <w:rPr>
          <w:rFonts w:hint="eastAsia" w:ascii="仿宋" w:hAnsi="仿宋" w:eastAsia="仿宋"/>
          <w:bCs/>
          <w:color w:val="auto"/>
          <w:sz w:val="28"/>
        </w:rPr>
        <w:t>发布</w:t>
      </w:r>
      <w:r>
        <w:rPr>
          <w:rFonts w:ascii="仿宋" w:hAnsi="仿宋" w:eastAsia="仿宋"/>
          <w:bCs/>
          <w:color w:val="auto"/>
          <w:sz w:val="28"/>
        </w:rPr>
        <w:t>招标</w:t>
      </w:r>
      <w:r>
        <w:rPr>
          <w:rFonts w:hint="eastAsia" w:ascii="仿宋" w:hAnsi="仿宋" w:eastAsia="仿宋"/>
          <w:bCs/>
          <w:color w:val="auto"/>
          <w:sz w:val="28"/>
        </w:rPr>
        <w:t>公告</w:t>
      </w:r>
      <w:r>
        <w:rPr>
          <w:rFonts w:ascii="仿宋" w:hAnsi="仿宋" w:eastAsia="仿宋"/>
          <w:bCs/>
          <w:color w:val="auto"/>
          <w:sz w:val="28"/>
        </w:rPr>
        <w:t>，</w:t>
      </w:r>
      <w:r>
        <w:rPr>
          <w:rFonts w:hint="eastAsia" w:ascii="仿宋" w:hAnsi="仿宋" w:eastAsia="仿宋"/>
          <w:bCs/>
          <w:color w:val="auto"/>
          <w:sz w:val="28"/>
        </w:rPr>
        <w:t>公告期不少于20日，接受具备</w:t>
      </w:r>
      <w:r>
        <w:rPr>
          <w:rFonts w:hint="eastAsia" w:ascii="仿宋" w:hAnsi="仿宋" w:eastAsia="仿宋"/>
          <w:bCs/>
          <w:color w:val="auto"/>
          <w:sz w:val="28"/>
          <w:lang w:eastAsia="zh-CN"/>
        </w:rPr>
        <w:t>供水</w:t>
      </w:r>
      <w:r>
        <w:rPr>
          <w:rFonts w:hint="eastAsia" w:ascii="仿宋" w:hAnsi="仿宋" w:eastAsia="仿宋"/>
          <w:bCs/>
          <w:color w:val="auto"/>
          <w:sz w:val="28"/>
        </w:rPr>
        <w:t>运营经验的企业或联合体报名。</w:t>
      </w:r>
      <w:r>
        <w:rPr>
          <w:rFonts w:ascii="仿宋" w:hAnsi="仿宋" w:eastAsia="仿宋"/>
          <w:b/>
          <w:bCs/>
          <w:color w:val="auto"/>
          <w:sz w:val="28"/>
        </w:rPr>
        <w:t>2、资格审查：</w:t>
      </w:r>
      <w:r>
        <w:rPr>
          <w:rFonts w:ascii="仿宋" w:hAnsi="仿宋" w:eastAsia="仿宋"/>
          <w:bCs/>
          <w:color w:val="auto"/>
          <w:sz w:val="28"/>
        </w:rPr>
        <w:t>审核企业资质、财务状况、运营方案</w:t>
      </w:r>
      <w:r>
        <w:rPr>
          <w:rFonts w:hint="eastAsia" w:ascii="仿宋" w:hAnsi="仿宋" w:eastAsia="仿宋"/>
          <w:bCs/>
          <w:color w:val="auto"/>
          <w:sz w:val="28"/>
        </w:rPr>
        <w:t>，审查企业征信记录和违法记录</w:t>
      </w:r>
      <w:r>
        <w:rPr>
          <w:rFonts w:ascii="仿宋" w:hAnsi="仿宋" w:eastAsia="仿宋"/>
          <w:bCs/>
          <w:color w:val="auto"/>
          <w:sz w:val="28"/>
        </w:rPr>
        <w:t>及自筹资金证明。</w:t>
      </w:r>
      <w:r>
        <w:rPr>
          <w:rFonts w:ascii="仿宋" w:hAnsi="仿宋" w:eastAsia="仿宋"/>
          <w:b/>
          <w:bCs/>
          <w:color w:val="auto"/>
          <w:sz w:val="28"/>
        </w:rPr>
        <w:t>3、评标定标：</w:t>
      </w:r>
      <w:r>
        <w:rPr>
          <w:rFonts w:ascii="仿宋" w:hAnsi="仿宋" w:eastAsia="仿宋"/>
          <w:bCs/>
          <w:color w:val="auto"/>
          <w:sz w:val="28"/>
        </w:rPr>
        <w:t>专家委员会评审，推荐中标人并公示。</w:t>
      </w:r>
      <w:r>
        <w:rPr>
          <w:rFonts w:hint="eastAsia" w:ascii="仿宋" w:hAnsi="仿宋" w:eastAsia="仿宋"/>
          <w:bCs/>
          <w:color w:val="auto"/>
          <w:sz w:val="28"/>
        </w:rPr>
        <w:t>重点评审运营方案（水质保障措施、应急</w:t>
      </w:r>
      <w:r>
        <w:rPr>
          <w:rFonts w:hint="eastAsia" w:ascii="仿宋" w:hAnsi="仿宋" w:eastAsia="仿宋"/>
          <w:bCs/>
          <w:color w:val="auto"/>
          <w:sz w:val="28"/>
          <w:lang w:eastAsia="zh-CN"/>
        </w:rPr>
        <w:t>供水</w:t>
      </w:r>
      <w:r>
        <w:rPr>
          <w:rFonts w:hint="eastAsia" w:ascii="仿宋" w:hAnsi="仿宋" w:eastAsia="仿宋"/>
          <w:bCs/>
          <w:color w:val="auto"/>
          <w:sz w:val="28"/>
        </w:rPr>
        <w:t>预案）、资金安排</w:t>
      </w:r>
      <w:r>
        <w:rPr>
          <w:rFonts w:hint="eastAsia" w:ascii="仿宋" w:hAnsi="仿宋" w:eastAsia="仿宋"/>
          <w:bCs/>
          <w:color w:val="auto"/>
          <w:sz w:val="28"/>
          <w:lang w:eastAsia="zh-CN"/>
        </w:rPr>
        <w:t>、</w:t>
      </w:r>
      <w:r>
        <w:rPr>
          <w:rFonts w:hint="eastAsia" w:ascii="仿宋" w:hAnsi="仿宋" w:eastAsia="仿宋"/>
          <w:bCs/>
          <w:color w:val="auto"/>
          <w:sz w:val="28"/>
        </w:rPr>
        <w:t>技术方案、管理团队、服务承诺等。推荐中标候选人并公示，公示期不少于5日。</w:t>
      </w:r>
    </w:p>
    <w:p w14:paraId="090CF551">
      <w:pPr>
        <w:pStyle w:val="4"/>
        <w:ind w:firstLine="643"/>
        <w:rPr>
          <w:color w:val="auto"/>
        </w:rPr>
      </w:pPr>
      <w:bookmarkStart w:id="27" w:name="_Toc12669"/>
      <w:r>
        <w:rPr>
          <w:rFonts w:hint="eastAsia"/>
          <w:color w:val="auto"/>
        </w:rPr>
        <w:t>（四）合同签订与</w:t>
      </w:r>
      <w:r>
        <w:rPr>
          <w:rFonts w:hint="eastAsia"/>
          <w:color w:val="auto"/>
          <w:lang w:eastAsia="zh-CN"/>
        </w:rPr>
        <w:t>特许经营者</w:t>
      </w:r>
      <w:r>
        <w:rPr>
          <w:rFonts w:hint="eastAsia"/>
          <w:color w:val="auto"/>
        </w:rPr>
        <w:t>设立阶段（第5~6个月）</w:t>
      </w:r>
      <w:bookmarkEnd w:id="27"/>
    </w:p>
    <w:p w14:paraId="512BDC66">
      <w:pPr>
        <w:ind w:firstLine="562" w:firstLineChars="200"/>
        <w:rPr>
          <w:rFonts w:hint="eastAsia" w:ascii="仿宋" w:hAnsi="仿宋" w:eastAsia="仿宋"/>
          <w:color w:val="auto"/>
          <w:sz w:val="28"/>
        </w:rPr>
      </w:pPr>
      <w:r>
        <w:rPr>
          <w:rFonts w:hint="eastAsia" w:ascii="仿宋" w:hAnsi="仿宋" w:eastAsia="仿宋"/>
          <w:b/>
          <w:bCs/>
          <w:color w:val="auto"/>
          <w:sz w:val="28"/>
        </w:rPr>
        <w:t>1、履约保证：</w:t>
      </w:r>
      <w:r>
        <w:rPr>
          <w:rFonts w:hint="eastAsia" w:ascii="仿宋" w:hAnsi="仿宋" w:eastAsia="仿宋"/>
          <w:color w:val="auto"/>
          <w:sz w:val="28"/>
        </w:rPr>
        <w:t>中标方向实施单位缴纳履约保证金或出具保函。</w:t>
      </w:r>
      <w:r>
        <w:rPr>
          <w:rFonts w:hint="eastAsia" w:ascii="仿宋" w:hAnsi="仿宋" w:eastAsia="仿宋"/>
          <w:b/>
          <w:bCs/>
          <w:color w:val="auto"/>
          <w:sz w:val="28"/>
        </w:rPr>
        <w:t>2</w:t>
      </w:r>
      <w:r>
        <w:rPr>
          <w:rFonts w:ascii="仿宋" w:hAnsi="仿宋" w:eastAsia="仿宋"/>
          <w:b/>
          <w:bCs/>
          <w:color w:val="auto"/>
          <w:sz w:val="28"/>
        </w:rPr>
        <w:t>、签订合同：</w:t>
      </w:r>
      <w:r>
        <w:rPr>
          <w:rFonts w:ascii="仿宋" w:hAnsi="仿宋" w:eastAsia="仿宋"/>
          <w:bCs/>
          <w:color w:val="auto"/>
          <w:sz w:val="28"/>
        </w:rPr>
        <w:t>由第三方提供合同范本，</w:t>
      </w:r>
      <w:r>
        <w:rPr>
          <w:rFonts w:hint="eastAsia" w:ascii="仿宋" w:hAnsi="仿宋" w:eastAsia="仿宋"/>
          <w:bCs/>
          <w:color w:val="auto"/>
          <w:sz w:val="28"/>
          <w:lang w:val="en-US" w:eastAsia="zh-CN"/>
        </w:rPr>
        <w:t>水利局、住房和城乡建设局与</w:t>
      </w:r>
      <w:r>
        <w:rPr>
          <w:rFonts w:ascii="仿宋" w:hAnsi="仿宋" w:eastAsia="仿宋"/>
          <w:bCs/>
          <w:color w:val="auto"/>
          <w:sz w:val="28"/>
        </w:rPr>
        <w:t>中标企业</w:t>
      </w:r>
      <w:r>
        <w:rPr>
          <w:rFonts w:hint="eastAsia" w:ascii="仿宋" w:hAnsi="仿宋" w:eastAsia="仿宋"/>
          <w:bCs/>
          <w:color w:val="auto"/>
          <w:sz w:val="28"/>
        </w:rPr>
        <w:t>（投资人）</w:t>
      </w:r>
      <w:r>
        <w:rPr>
          <w:rFonts w:ascii="仿宋" w:hAnsi="仿宋" w:eastAsia="仿宋"/>
          <w:bCs/>
          <w:color w:val="auto"/>
          <w:sz w:val="28"/>
        </w:rPr>
        <w:t>签订《</w:t>
      </w:r>
      <w:r>
        <w:rPr>
          <w:rFonts w:hint="eastAsia" w:ascii="仿宋" w:hAnsi="仿宋" w:eastAsia="仿宋"/>
          <w:bCs/>
          <w:color w:val="auto"/>
          <w:sz w:val="28"/>
        </w:rPr>
        <w:t>特许经营协议</w:t>
      </w:r>
      <w:r>
        <w:rPr>
          <w:rFonts w:ascii="仿宋" w:hAnsi="仿宋" w:eastAsia="仿宋"/>
          <w:bCs/>
          <w:color w:val="auto"/>
          <w:sz w:val="28"/>
        </w:rPr>
        <w:t>》。</w:t>
      </w:r>
      <w:r>
        <w:rPr>
          <w:rFonts w:hint="eastAsia" w:ascii="仿宋" w:hAnsi="仿宋" w:eastAsia="仿宋"/>
          <w:bCs/>
          <w:color w:val="auto"/>
          <w:sz w:val="28"/>
          <w:lang w:val="en-US" w:eastAsia="zh-CN"/>
        </w:rPr>
        <w:t>3</w:t>
      </w:r>
      <w:r>
        <w:rPr>
          <w:rFonts w:hint="eastAsia" w:ascii="仿宋" w:hAnsi="仿宋" w:eastAsia="仿宋"/>
          <w:b/>
          <w:bCs/>
          <w:color w:val="auto"/>
          <w:sz w:val="28"/>
        </w:rPr>
        <w:t>、</w:t>
      </w:r>
      <w:r>
        <w:rPr>
          <w:rFonts w:hint="eastAsia" w:ascii="仿宋" w:hAnsi="仿宋" w:eastAsia="仿宋"/>
          <w:b/>
          <w:bCs/>
          <w:color w:val="auto"/>
          <w:sz w:val="28"/>
          <w:lang w:eastAsia="zh-CN"/>
        </w:rPr>
        <w:t>特许经营者</w:t>
      </w:r>
      <w:r>
        <w:rPr>
          <w:rFonts w:hint="eastAsia" w:ascii="仿宋" w:hAnsi="仿宋" w:eastAsia="仿宋"/>
          <w:b/>
          <w:bCs/>
          <w:color w:val="auto"/>
          <w:sz w:val="28"/>
        </w:rPr>
        <w:t>设立：</w:t>
      </w:r>
      <w:r>
        <w:rPr>
          <w:rFonts w:hint="eastAsia" w:ascii="仿宋" w:hAnsi="仿宋" w:eastAsia="仿宋"/>
          <w:color w:val="auto"/>
          <w:sz w:val="28"/>
        </w:rPr>
        <w:t>投资人按约定出资设立</w:t>
      </w:r>
      <w:r>
        <w:rPr>
          <w:rFonts w:hint="eastAsia" w:ascii="仿宋" w:hAnsi="仿宋" w:eastAsia="仿宋"/>
          <w:color w:val="auto"/>
          <w:sz w:val="28"/>
          <w:lang w:eastAsia="zh-CN"/>
        </w:rPr>
        <w:t>特许经营者</w:t>
      </w:r>
      <w:r>
        <w:rPr>
          <w:rFonts w:hint="eastAsia" w:ascii="仿宋" w:hAnsi="仿宋" w:eastAsia="仿宋"/>
          <w:color w:val="auto"/>
          <w:sz w:val="28"/>
        </w:rPr>
        <w:t>；办理工商注册登记手续；办理税务登记、银行开户等手续。</w:t>
      </w:r>
      <w:r>
        <w:rPr>
          <w:rFonts w:hint="eastAsia" w:ascii="仿宋" w:hAnsi="仿宋" w:eastAsia="仿宋"/>
          <w:b/>
          <w:bCs/>
          <w:color w:val="auto"/>
          <w:sz w:val="28"/>
        </w:rPr>
        <w:t>4、出资到位：</w:t>
      </w:r>
      <w:r>
        <w:rPr>
          <w:rFonts w:hint="eastAsia" w:ascii="仿宋" w:hAnsi="仿宋" w:eastAsia="仿宋"/>
          <w:color w:val="auto"/>
          <w:sz w:val="28"/>
        </w:rPr>
        <w:t>投资人按约定缴纳出资</w:t>
      </w:r>
      <w:r>
        <w:rPr>
          <w:rFonts w:hint="eastAsia" w:ascii="仿宋" w:hAnsi="仿宋" w:eastAsia="仿宋"/>
          <w:color w:val="auto"/>
          <w:sz w:val="28"/>
          <w:lang w:eastAsia="zh-CN"/>
        </w:rPr>
        <w:t>，</w:t>
      </w:r>
      <w:r>
        <w:rPr>
          <w:rFonts w:hint="eastAsia" w:ascii="仿宋" w:hAnsi="仿宋" w:eastAsia="仿宋"/>
          <w:color w:val="auto"/>
          <w:sz w:val="28"/>
        </w:rPr>
        <w:t>办理验资手续。</w:t>
      </w:r>
      <w:r>
        <w:rPr>
          <w:rFonts w:hint="eastAsia" w:ascii="仿宋" w:hAnsi="仿宋" w:eastAsia="仿宋"/>
          <w:b/>
          <w:bCs/>
          <w:color w:val="auto"/>
          <w:sz w:val="28"/>
        </w:rPr>
        <w:t>5、人员划转：</w:t>
      </w:r>
      <w:r>
        <w:rPr>
          <w:rFonts w:hint="eastAsia" w:ascii="仿宋" w:hAnsi="仿宋" w:eastAsia="仿宋"/>
          <w:color w:val="auto"/>
          <w:sz w:val="28"/>
          <w:lang w:eastAsia="zh-CN"/>
        </w:rPr>
        <w:t>特许经营者</w:t>
      </w:r>
      <w:r>
        <w:rPr>
          <w:rFonts w:hint="eastAsia" w:ascii="仿宋" w:hAnsi="仿宋" w:eastAsia="仿宋"/>
          <w:color w:val="auto"/>
          <w:sz w:val="28"/>
        </w:rPr>
        <w:t>与划转人员签订劳动合同；办理社会保险、住房公积金转移手续。</w:t>
      </w:r>
      <w:r>
        <w:rPr>
          <w:rFonts w:hint="eastAsia" w:ascii="仿宋" w:hAnsi="仿宋" w:eastAsia="仿宋"/>
          <w:b/>
          <w:bCs/>
          <w:color w:val="auto"/>
          <w:sz w:val="28"/>
        </w:rPr>
        <w:t>6、初始特许费缴纳：</w:t>
      </w:r>
      <w:r>
        <w:rPr>
          <w:rFonts w:hint="eastAsia" w:ascii="仿宋" w:hAnsi="仿宋" w:eastAsia="仿宋"/>
          <w:color w:val="auto"/>
          <w:sz w:val="28"/>
        </w:rPr>
        <w:t>中标人或特许经营</w:t>
      </w:r>
      <w:r>
        <w:rPr>
          <w:rFonts w:hint="eastAsia" w:ascii="仿宋" w:hAnsi="仿宋" w:eastAsia="仿宋"/>
          <w:color w:val="auto"/>
          <w:sz w:val="28"/>
          <w:lang w:eastAsia="zh-CN"/>
        </w:rPr>
        <w:t>特许经营者</w:t>
      </w:r>
      <w:r>
        <w:rPr>
          <w:rFonts w:hint="eastAsia" w:ascii="仿宋" w:hAnsi="仿宋" w:eastAsia="仿宋"/>
          <w:color w:val="auto"/>
          <w:sz w:val="28"/>
        </w:rPr>
        <w:t>缴纳第一期初始特许费，上缴财政非税收入。</w:t>
      </w:r>
    </w:p>
    <w:p w14:paraId="1AB302D5">
      <w:pPr>
        <w:pStyle w:val="4"/>
        <w:ind w:firstLine="643"/>
        <w:rPr>
          <w:color w:val="auto"/>
        </w:rPr>
      </w:pPr>
      <w:bookmarkStart w:id="28" w:name="_Toc24210"/>
      <w:r>
        <w:rPr>
          <w:rFonts w:hint="eastAsia"/>
          <w:color w:val="auto"/>
        </w:rPr>
        <w:t>（五）经营权移交与管理阶段（第</w:t>
      </w:r>
      <w:r>
        <w:rPr>
          <w:color w:val="auto"/>
        </w:rPr>
        <w:t>6个月起）</w:t>
      </w:r>
      <w:bookmarkEnd w:id="28"/>
    </w:p>
    <w:p w14:paraId="60806DAF">
      <w:pPr>
        <w:ind w:firstLine="562" w:firstLineChars="200"/>
        <w:rPr>
          <w:rFonts w:hint="eastAsia" w:ascii="仿宋" w:hAnsi="仿宋" w:eastAsia="仿宋"/>
          <w:color w:val="auto"/>
          <w:sz w:val="28"/>
        </w:rPr>
      </w:pPr>
      <w:r>
        <w:rPr>
          <w:rFonts w:hint="eastAsia" w:ascii="仿宋" w:hAnsi="仿宋" w:eastAsia="仿宋"/>
          <w:b/>
          <w:bCs/>
          <w:color w:val="auto"/>
          <w:sz w:val="28"/>
        </w:rPr>
        <w:t>1、</w:t>
      </w:r>
      <w:r>
        <w:rPr>
          <w:rFonts w:ascii="仿宋" w:hAnsi="仿宋" w:eastAsia="仿宋"/>
          <w:b/>
          <w:bCs/>
          <w:color w:val="auto"/>
          <w:sz w:val="28"/>
        </w:rPr>
        <w:t>权益移交</w:t>
      </w:r>
      <w:r>
        <w:rPr>
          <w:rFonts w:ascii="仿宋" w:hAnsi="仿宋" w:eastAsia="仿宋"/>
          <w:color w:val="auto"/>
          <w:sz w:val="28"/>
        </w:rPr>
        <w:t>：</w:t>
      </w:r>
      <w:r>
        <w:rPr>
          <w:rFonts w:hint="eastAsia" w:ascii="仿宋" w:hAnsi="仿宋" w:eastAsia="仿宋"/>
          <w:color w:val="auto"/>
          <w:sz w:val="28"/>
          <w:lang w:val="en-US" w:eastAsia="zh-CN"/>
        </w:rPr>
        <w:t>住房和</w:t>
      </w:r>
      <w:r>
        <w:rPr>
          <w:rFonts w:hint="eastAsia" w:ascii="仿宋" w:hAnsi="仿宋" w:eastAsia="仿宋"/>
          <w:color w:val="auto"/>
          <w:sz w:val="28"/>
        </w:rPr>
        <w:t>城乡建设局向新</w:t>
      </w:r>
      <w:r>
        <w:rPr>
          <w:rFonts w:hint="eastAsia" w:ascii="仿宋" w:hAnsi="仿宋" w:eastAsia="仿宋"/>
          <w:color w:val="auto"/>
          <w:sz w:val="28"/>
          <w:lang w:eastAsia="zh-CN"/>
        </w:rPr>
        <w:t>特许经营者</w:t>
      </w:r>
      <w:r>
        <w:rPr>
          <w:rFonts w:hint="eastAsia" w:ascii="仿宋" w:hAnsi="仿宋" w:eastAsia="仿宋"/>
          <w:color w:val="auto"/>
          <w:sz w:val="28"/>
        </w:rPr>
        <w:t>颁发《市政公用事业特许经营许可证》，明确经营范围、期限</w:t>
      </w:r>
      <w:r>
        <w:rPr>
          <w:rFonts w:ascii="仿宋" w:hAnsi="仿宋" w:eastAsia="仿宋"/>
          <w:color w:val="auto"/>
          <w:sz w:val="28"/>
        </w:rPr>
        <w:t>、服务标准。</w:t>
      </w:r>
      <w:r>
        <w:rPr>
          <w:rFonts w:hint="eastAsia" w:ascii="仿宋" w:hAnsi="仿宋" w:eastAsia="仿宋"/>
          <w:color w:val="auto"/>
          <w:sz w:val="28"/>
          <w:lang w:val="en-US" w:eastAsia="zh-CN"/>
        </w:rPr>
        <w:t>原运营</w:t>
      </w:r>
      <w:r>
        <w:rPr>
          <w:rFonts w:hint="eastAsia" w:ascii="仿宋" w:hAnsi="仿宋" w:eastAsia="仿宋"/>
          <w:color w:val="auto"/>
          <w:sz w:val="28"/>
        </w:rPr>
        <w:t>公司向新</w:t>
      </w:r>
      <w:r>
        <w:rPr>
          <w:rFonts w:hint="eastAsia" w:ascii="仿宋" w:hAnsi="仿宋" w:eastAsia="仿宋"/>
          <w:color w:val="auto"/>
          <w:sz w:val="28"/>
          <w:lang w:eastAsia="zh-CN"/>
        </w:rPr>
        <w:t>特许经营者</w:t>
      </w:r>
      <w:r>
        <w:rPr>
          <w:rFonts w:hint="eastAsia" w:ascii="仿宋" w:hAnsi="仿宋" w:eastAsia="仿宋"/>
          <w:color w:val="auto"/>
          <w:sz w:val="28"/>
        </w:rPr>
        <w:t>移交</w:t>
      </w:r>
      <w:r>
        <w:rPr>
          <w:rFonts w:hint="eastAsia" w:ascii="仿宋" w:hAnsi="仿宋" w:eastAsia="仿宋"/>
          <w:color w:val="auto"/>
          <w:sz w:val="28"/>
          <w:lang w:eastAsia="zh-CN"/>
        </w:rPr>
        <w:t>供水</w:t>
      </w:r>
      <w:r>
        <w:rPr>
          <w:rFonts w:hint="eastAsia" w:ascii="仿宋" w:hAnsi="仿宋" w:eastAsia="仿宋"/>
          <w:color w:val="auto"/>
          <w:sz w:val="28"/>
        </w:rPr>
        <w:t>收费系统、用户档案、运营设备清单，新</w:t>
      </w:r>
      <w:r>
        <w:rPr>
          <w:rFonts w:hint="eastAsia" w:ascii="仿宋" w:hAnsi="仿宋" w:eastAsia="仿宋"/>
          <w:color w:val="auto"/>
          <w:sz w:val="28"/>
          <w:lang w:eastAsia="zh-CN"/>
        </w:rPr>
        <w:t>特许经营者</w:t>
      </w:r>
      <w:r>
        <w:rPr>
          <w:rFonts w:hint="eastAsia" w:ascii="仿宋" w:hAnsi="仿宋" w:eastAsia="仿宋"/>
          <w:color w:val="auto"/>
          <w:sz w:val="28"/>
        </w:rPr>
        <w:t>正式承接</w:t>
      </w:r>
      <w:r>
        <w:rPr>
          <w:rFonts w:hint="eastAsia" w:ascii="仿宋" w:hAnsi="仿宋" w:eastAsia="仿宋"/>
          <w:color w:val="auto"/>
          <w:sz w:val="28"/>
          <w:lang w:eastAsia="zh-CN"/>
        </w:rPr>
        <w:t>供水</w:t>
      </w:r>
      <w:r>
        <w:rPr>
          <w:rFonts w:hint="eastAsia" w:ascii="仿宋" w:hAnsi="仿宋" w:eastAsia="仿宋"/>
          <w:color w:val="auto"/>
          <w:sz w:val="28"/>
        </w:rPr>
        <w:t>服务。</w:t>
      </w:r>
    </w:p>
    <w:p w14:paraId="39FCB747">
      <w:pPr>
        <w:ind w:firstLine="562" w:firstLineChars="200"/>
        <w:rPr>
          <w:rFonts w:hint="eastAsia" w:ascii="仿宋" w:hAnsi="仿宋" w:eastAsia="仿宋"/>
          <w:color w:val="auto"/>
          <w:sz w:val="28"/>
        </w:rPr>
      </w:pPr>
      <w:r>
        <w:rPr>
          <w:rFonts w:ascii="仿宋" w:hAnsi="仿宋" w:eastAsia="仿宋"/>
          <w:b/>
          <w:color w:val="auto"/>
          <w:sz w:val="28"/>
        </w:rPr>
        <w:t>2、运营监管：</w:t>
      </w:r>
      <w:r>
        <w:rPr>
          <w:rFonts w:ascii="仿宋" w:hAnsi="仿宋" w:eastAsia="仿宋"/>
          <w:color w:val="auto"/>
          <w:sz w:val="28"/>
        </w:rPr>
        <w:t>企业负责</w:t>
      </w:r>
      <w:r>
        <w:rPr>
          <w:rFonts w:hint="eastAsia" w:ascii="仿宋" w:hAnsi="仿宋" w:eastAsia="仿宋"/>
          <w:color w:val="auto"/>
          <w:sz w:val="28"/>
          <w:lang w:eastAsia="zh-CN"/>
        </w:rPr>
        <w:t>供水</w:t>
      </w:r>
      <w:r>
        <w:rPr>
          <w:rFonts w:ascii="仿宋" w:hAnsi="仿宋" w:eastAsia="仿宋"/>
          <w:color w:val="auto"/>
          <w:sz w:val="28"/>
        </w:rPr>
        <w:t>生产、水质检测、设备维护，定期报送运营报表。政府部门（</w:t>
      </w:r>
      <w:r>
        <w:rPr>
          <w:rFonts w:hint="eastAsia" w:ascii="仿宋" w:hAnsi="仿宋" w:eastAsia="仿宋"/>
          <w:color w:val="auto"/>
          <w:sz w:val="28"/>
        </w:rPr>
        <w:t>城乡建设、水利局、卫生健康、生态环境、市场监管等</w:t>
      </w:r>
      <w:r>
        <w:rPr>
          <w:rFonts w:ascii="仿宋" w:hAnsi="仿宋" w:eastAsia="仿宋"/>
          <w:color w:val="auto"/>
          <w:sz w:val="28"/>
        </w:rPr>
        <w:t>）监督水质安全与服务质量，确保达标。</w:t>
      </w:r>
    </w:p>
    <w:p w14:paraId="2F0FFD6E">
      <w:pPr>
        <w:ind w:firstLine="560" w:firstLineChars="200"/>
        <w:rPr>
          <w:rFonts w:hint="eastAsia" w:ascii="仿宋" w:hAnsi="仿宋" w:eastAsia="仿宋"/>
          <w:color w:val="auto"/>
          <w:sz w:val="28"/>
        </w:rPr>
      </w:pPr>
      <w:r>
        <w:rPr>
          <w:rFonts w:hint="eastAsia" w:ascii="仿宋" w:hAnsi="仿宋" w:eastAsia="仿宋"/>
          <w:color w:val="auto"/>
          <w:sz w:val="28"/>
        </w:rPr>
        <w:t>3、年度特许经营费缴纳：</w:t>
      </w:r>
      <w:r>
        <w:rPr>
          <w:rFonts w:hint="eastAsia" w:ascii="仿宋" w:hAnsi="仿宋" w:eastAsia="仿宋"/>
          <w:color w:val="auto"/>
          <w:sz w:val="28"/>
          <w:lang w:eastAsia="zh-CN"/>
        </w:rPr>
        <w:t>特许经营者</w:t>
      </w:r>
      <w:r>
        <w:rPr>
          <w:rFonts w:hint="eastAsia" w:ascii="仿宋" w:hAnsi="仿宋" w:eastAsia="仿宋"/>
          <w:color w:val="auto"/>
          <w:sz w:val="28"/>
        </w:rPr>
        <w:t>按年缴纳特许经营费；逾期缴纳的，按规定加收滞纳金。</w:t>
      </w:r>
    </w:p>
    <w:p w14:paraId="137A2840">
      <w:pPr>
        <w:pStyle w:val="4"/>
        <w:ind w:firstLine="643"/>
        <w:rPr>
          <w:color w:val="auto"/>
        </w:rPr>
      </w:pPr>
      <w:bookmarkStart w:id="29" w:name="_Toc12888"/>
      <w:r>
        <w:rPr>
          <w:rFonts w:hint="eastAsia"/>
          <w:color w:val="auto"/>
        </w:rPr>
        <w:t>（六）期满移交归还（第</w:t>
      </w:r>
      <w:r>
        <w:rPr>
          <w:color w:val="auto"/>
        </w:rPr>
        <w:t>30年合同期满前6个月）</w:t>
      </w:r>
      <w:bookmarkEnd w:id="29"/>
    </w:p>
    <w:p w14:paraId="5066D712">
      <w:pPr>
        <w:ind w:firstLine="562" w:firstLineChars="200"/>
        <w:rPr>
          <w:rFonts w:hint="eastAsia" w:ascii="仿宋" w:hAnsi="仿宋" w:eastAsia="仿宋"/>
          <w:color w:val="auto"/>
          <w:sz w:val="28"/>
        </w:rPr>
      </w:pPr>
      <w:r>
        <w:rPr>
          <w:rFonts w:hint="eastAsia" w:ascii="仿宋" w:hAnsi="仿宋" w:eastAsia="仿宋"/>
          <w:b/>
          <w:bCs/>
          <w:color w:val="auto"/>
          <w:sz w:val="28"/>
        </w:rPr>
        <w:t>1、资产清查：</w:t>
      </w:r>
      <w:r>
        <w:rPr>
          <w:rFonts w:hint="eastAsia" w:ascii="仿宋" w:hAnsi="仿宋" w:eastAsia="仿宋"/>
          <w:color w:val="auto"/>
          <w:sz w:val="28"/>
        </w:rPr>
        <w:t>政府组织第三方机构核查资产成新率（≥</w:t>
      </w:r>
      <w:r>
        <w:rPr>
          <w:rFonts w:ascii="仿宋" w:hAnsi="仿宋" w:eastAsia="仿宋"/>
          <w:color w:val="auto"/>
          <w:sz w:val="28"/>
        </w:rPr>
        <w:t>40%，对应评估报告成新率计算逻辑），新增设备无偿归政府所有。</w:t>
      </w:r>
      <w:r>
        <w:rPr>
          <w:rFonts w:hint="eastAsia" w:ascii="仿宋" w:hAnsi="仿宋" w:eastAsia="仿宋"/>
          <w:color w:val="auto"/>
          <w:sz w:val="28"/>
        </w:rPr>
        <w:t>资产完好率≥90%，否则由投资人按折旧价赔偿。</w:t>
      </w:r>
      <w:r>
        <w:rPr>
          <w:rFonts w:hint="eastAsia" w:ascii="仿宋" w:hAnsi="仿宋" w:eastAsia="仿宋"/>
          <w:b/>
          <w:bCs/>
          <w:color w:val="auto"/>
          <w:sz w:val="28"/>
        </w:rPr>
        <w:t>2、财务审计：</w:t>
      </w:r>
      <w:r>
        <w:rPr>
          <w:rFonts w:hint="eastAsia" w:ascii="仿宋" w:hAnsi="仿宋" w:eastAsia="仿宋"/>
          <w:color w:val="auto"/>
          <w:sz w:val="28"/>
        </w:rPr>
        <w:t>对</w:t>
      </w:r>
      <w:r>
        <w:rPr>
          <w:rFonts w:hint="eastAsia" w:ascii="仿宋" w:hAnsi="仿宋" w:eastAsia="仿宋"/>
          <w:color w:val="auto"/>
          <w:sz w:val="28"/>
          <w:lang w:eastAsia="zh-CN"/>
        </w:rPr>
        <w:t>特许经营者</w:t>
      </w:r>
      <w:r>
        <w:rPr>
          <w:rFonts w:hint="eastAsia" w:ascii="仿宋" w:hAnsi="仿宋" w:eastAsia="仿宋"/>
          <w:color w:val="auto"/>
          <w:sz w:val="28"/>
        </w:rPr>
        <w:t>进行财务审计；清理债权债务；处理改扩建形成的剩余资产。</w:t>
      </w:r>
      <w:r>
        <w:rPr>
          <w:rFonts w:hint="eastAsia" w:ascii="仿宋" w:hAnsi="仿宋" w:eastAsia="仿宋"/>
          <w:b/>
          <w:color w:val="auto"/>
          <w:sz w:val="28"/>
        </w:rPr>
        <w:t>3、无偿收回:</w:t>
      </w:r>
      <w:r>
        <w:rPr>
          <w:rFonts w:hint="eastAsia" w:ascii="仿宋" w:hAnsi="仿宋" w:eastAsia="仿宋"/>
          <w:color w:val="auto"/>
          <w:sz w:val="28"/>
        </w:rPr>
        <w:t>新公司向国资部门移交所有运营资料、用户档案、收费系统，注销</w:t>
      </w:r>
      <w:r>
        <w:rPr>
          <w:rFonts w:hint="eastAsia" w:ascii="仿宋" w:hAnsi="仿宋" w:eastAsia="仿宋"/>
          <w:color w:val="auto"/>
          <w:sz w:val="28"/>
          <w:lang w:eastAsia="zh-CN"/>
        </w:rPr>
        <w:t>供水</w:t>
      </w:r>
      <w:r>
        <w:rPr>
          <w:rFonts w:hint="eastAsia" w:ascii="仿宋" w:hAnsi="仿宋" w:eastAsia="仿宋"/>
          <w:color w:val="auto"/>
          <w:sz w:val="28"/>
        </w:rPr>
        <w:t>相关资质；经营权无偿归还政府。</w:t>
      </w:r>
    </w:p>
    <w:p w14:paraId="266A455F">
      <w:pPr>
        <w:pStyle w:val="3"/>
        <w:rPr>
          <w:rFonts w:hint="eastAsia"/>
          <w:color w:val="auto"/>
        </w:rPr>
      </w:pPr>
      <w:bookmarkStart w:id="30" w:name="_Toc28580"/>
      <w:r>
        <w:rPr>
          <w:rFonts w:hint="eastAsia"/>
          <w:color w:val="auto"/>
          <w:lang w:val="en-US" w:eastAsia="zh-CN"/>
        </w:rPr>
        <w:t>七</w:t>
      </w:r>
      <w:r>
        <w:rPr>
          <w:rFonts w:hint="eastAsia"/>
          <w:color w:val="auto"/>
        </w:rPr>
        <w:t>、保障措施与全周期监管</w:t>
      </w:r>
      <w:bookmarkEnd w:id="30"/>
    </w:p>
    <w:p w14:paraId="55F40A34">
      <w:pPr>
        <w:pStyle w:val="4"/>
        <w:ind w:firstLine="643"/>
        <w:rPr>
          <w:color w:val="auto"/>
        </w:rPr>
      </w:pPr>
      <w:bookmarkStart w:id="31" w:name="_Toc28890"/>
      <w:r>
        <w:rPr>
          <w:rFonts w:hint="eastAsia"/>
          <w:color w:val="auto"/>
        </w:rPr>
        <w:t>（一）组织保障</w:t>
      </w:r>
      <w:bookmarkEnd w:id="31"/>
    </w:p>
    <w:p w14:paraId="0E384BAE">
      <w:pPr>
        <w:ind w:firstLine="560" w:firstLineChars="200"/>
        <w:rPr>
          <w:rFonts w:hint="eastAsia" w:ascii="仿宋" w:hAnsi="仿宋" w:eastAsia="仿宋"/>
          <w:bCs/>
          <w:color w:val="auto"/>
          <w:sz w:val="28"/>
        </w:rPr>
      </w:pPr>
      <w:r>
        <w:rPr>
          <w:rFonts w:hint="eastAsia" w:ascii="仿宋" w:hAnsi="仿宋" w:eastAsia="仿宋"/>
          <w:bCs/>
          <w:color w:val="auto"/>
          <w:sz w:val="28"/>
        </w:rPr>
        <w:t>成立县政府分管领导任组长的项目领导小组，统筹协调</w:t>
      </w:r>
      <w:r>
        <w:rPr>
          <w:rFonts w:hint="eastAsia" w:ascii="仿宋" w:hAnsi="仿宋" w:eastAsia="仿宋"/>
          <w:bCs/>
          <w:color w:val="auto"/>
          <w:sz w:val="28"/>
          <w:lang w:val="en-US" w:eastAsia="zh-CN"/>
        </w:rPr>
        <w:t>水利、住建</w:t>
      </w:r>
      <w:r>
        <w:rPr>
          <w:rFonts w:hint="eastAsia" w:ascii="仿宋" w:hAnsi="仿宋" w:eastAsia="仿宋"/>
          <w:bCs/>
          <w:color w:val="auto"/>
          <w:sz w:val="28"/>
        </w:rPr>
        <w:t>、</w:t>
      </w:r>
      <w:r>
        <w:rPr>
          <w:rFonts w:hint="eastAsia" w:ascii="仿宋" w:hAnsi="仿宋" w:eastAsia="仿宋"/>
          <w:bCs/>
          <w:color w:val="auto"/>
          <w:sz w:val="28"/>
          <w:lang w:val="en-US" w:eastAsia="zh-CN"/>
        </w:rPr>
        <w:t>财政（</w:t>
      </w:r>
      <w:r>
        <w:rPr>
          <w:rFonts w:hint="eastAsia" w:ascii="仿宋" w:hAnsi="仿宋" w:eastAsia="仿宋"/>
          <w:bCs/>
          <w:color w:val="auto"/>
          <w:sz w:val="28"/>
        </w:rPr>
        <w:t>国资</w:t>
      </w:r>
      <w:r>
        <w:rPr>
          <w:rFonts w:hint="eastAsia" w:ascii="仿宋" w:hAnsi="仿宋" w:eastAsia="仿宋"/>
          <w:bCs/>
          <w:color w:val="auto"/>
          <w:sz w:val="28"/>
          <w:lang w:eastAsia="zh-CN"/>
        </w:rPr>
        <w:t>）</w:t>
      </w:r>
      <w:r>
        <w:rPr>
          <w:rFonts w:hint="eastAsia" w:ascii="仿宋" w:hAnsi="仿宋" w:eastAsia="仿宋"/>
          <w:bCs/>
          <w:color w:val="auto"/>
          <w:sz w:val="28"/>
        </w:rPr>
        <w:t>、市场监管、卫生、审计等部门，明确职责分工，确保项目推进与争议解决。</w:t>
      </w:r>
    </w:p>
    <w:p w14:paraId="20BBFD12">
      <w:pPr>
        <w:pStyle w:val="4"/>
        <w:ind w:firstLine="643"/>
        <w:rPr>
          <w:color w:val="auto"/>
        </w:rPr>
      </w:pPr>
      <w:bookmarkStart w:id="32" w:name="_Toc22804"/>
      <w:r>
        <w:rPr>
          <w:rFonts w:hint="eastAsia"/>
          <w:color w:val="auto"/>
        </w:rPr>
        <w:t>（二）制度保障</w:t>
      </w:r>
      <w:bookmarkEnd w:id="32"/>
    </w:p>
    <w:p w14:paraId="66E8717B">
      <w:pPr>
        <w:ind w:firstLine="560" w:firstLineChars="200"/>
        <w:rPr>
          <w:rFonts w:hint="eastAsia" w:ascii="仿宋" w:hAnsi="仿宋" w:eastAsia="仿宋"/>
          <w:color w:val="auto"/>
          <w:sz w:val="28"/>
        </w:rPr>
      </w:pPr>
      <w:r>
        <w:rPr>
          <w:rFonts w:hint="eastAsia" w:ascii="仿宋" w:hAnsi="仿宋" w:eastAsia="仿宋"/>
          <w:color w:val="auto"/>
          <w:sz w:val="28"/>
        </w:rPr>
        <w:t>制定《墨玉县</w:t>
      </w:r>
      <w:r>
        <w:rPr>
          <w:rFonts w:hint="eastAsia" w:ascii="仿宋" w:hAnsi="仿宋" w:eastAsia="仿宋"/>
          <w:color w:val="auto"/>
          <w:sz w:val="28"/>
          <w:lang w:eastAsia="zh-CN"/>
        </w:rPr>
        <w:t>供水</w:t>
      </w:r>
      <w:r>
        <w:rPr>
          <w:rFonts w:hint="eastAsia" w:ascii="仿宋" w:hAnsi="仿宋" w:eastAsia="仿宋"/>
          <w:color w:val="auto"/>
          <w:sz w:val="28"/>
        </w:rPr>
        <w:t>特许经营管理办法》，规范合同履行、资金管理、服务监管等流程，明确各方权责、价格调整程序及违约处罚条款，建立监督委员会，吸纳公众代表参与。</w:t>
      </w:r>
    </w:p>
    <w:p w14:paraId="7E5662A2">
      <w:pPr>
        <w:pStyle w:val="4"/>
        <w:ind w:firstLine="643"/>
        <w:rPr>
          <w:color w:val="auto"/>
        </w:rPr>
      </w:pPr>
      <w:bookmarkStart w:id="33" w:name="_Toc22340"/>
      <w:r>
        <w:rPr>
          <w:rFonts w:hint="eastAsia"/>
          <w:color w:val="auto"/>
        </w:rPr>
        <w:t>（三）监督机制</w:t>
      </w:r>
      <w:bookmarkEnd w:id="33"/>
    </w:p>
    <w:p w14:paraId="5312D0B8">
      <w:pPr>
        <w:ind w:firstLine="562" w:firstLineChars="200"/>
        <w:rPr>
          <w:rFonts w:hint="eastAsia" w:ascii="仿宋" w:hAnsi="仿宋" w:eastAsia="仿宋"/>
          <w:color w:val="auto"/>
          <w:sz w:val="28"/>
        </w:rPr>
      </w:pPr>
      <w:r>
        <w:rPr>
          <w:rFonts w:ascii="仿宋" w:hAnsi="仿宋" w:eastAsia="仿宋"/>
          <w:b/>
          <w:bCs/>
          <w:color w:val="auto"/>
          <w:sz w:val="28"/>
        </w:rPr>
        <w:t>1、政府监督：</w:t>
      </w:r>
      <w:r>
        <w:rPr>
          <w:rFonts w:ascii="仿宋" w:hAnsi="仿宋" w:eastAsia="仿宋"/>
          <w:color w:val="auto"/>
          <w:sz w:val="28"/>
        </w:rPr>
        <w:t>定期检查企业运营情况、水质安全及资金使用，公开投诉渠道（电话、邮箱），及时处理群众反馈。</w:t>
      </w:r>
      <w:r>
        <w:rPr>
          <w:rFonts w:ascii="仿宋" w:hAnsi="仿宋" w:eastAsia="仿宋"/>
          <w:b/>
          <w:bCs/>
          <w:color w:val="auto"/>
          <w:sz w:val="28"/>
        </w:rPr>
        <w:t>2、社会监督：</w:t>
      </w:r>
      <w:r>
        <w:rPr>
          <w:rFonts w:ascii="仿宋" w:hAnsi="仿宋" w:eastAsia="仿宋"/>
          <w:color w:val="auto"/>
          <w:sz w:val="28"/>
        </w:rPr>
        <w:t>引入第三方机构（会计师事务所、水质检测机构）开展独立评估，每年公示项目运营报告，接受社会监督。</w:t>
      </w:r>
    </w:p>
    <w:p w14:paraId="13DE0407">
      <w:pPr>
        <w:pStyle w:val="4"/>
        <w:ind w:firstLine="643"/>
        <w:rPr>
          <w:color w:val="auto"/>
        </w:rPr>
      </w:pPr>
      <w:bookmarkStart w:id="34" w:name="_Toc2254"/>
      <w:r>
        <w:rPr>
          <w:rFonts w:hint="eastAsia"/>
          <w:color w:val="auto"/>
        </w:rPr>
        <w:t>（四）风险预警机制</w:t>
      </w:r>
      <w:bookmarkEnd w:id="34"/>
    </w:p>
    <w:p w14:paraId="474D4A92">
      <w:pPr>
        <w:ind w:firstLine="562" w:firstLineChars="200"/>
        <w:rPr>
          <w:rFonts w:hint="eastAsia" w:ascii="仿宋" w:hAnsi="仿宋" w:eastAsia="仿宋"/>
          <w:bCs/>
          <w:color w:val="auto"/>
          <w:sz w:val="28"/>
        </w:rPr>
      </w:pPr>
      <w:r>
        <w:rPr>
          <w:rFonts w:hint="eastAsia" w:ascii="仿宋" w:hAnsi="仿宋" w:eastAsia="仿宋"/>
          <w:b/>
          <w:bCs/>
          <w:color w:val="auto"/>
          <w:sz w:val="28"/>
        </w:rPr>
        <w:t>1、黄色预警:</w:t>
      </w:r>
      <w:r>
        <w:rPr>
          <w:rFonts w:hint="eastAsia" w:ascii="仿宋" w:hAnsi="仿宋" w:eastAsia="仿宋"/>
          <w:bCs/>
          <w:color w:val="auto"/>
          <w:sz w:val="28"/>
        </w:rPr>
        <w:t>水质达标率低于</w:t>
      </w:r>
      <w:r>
        <w:rPr>
          <w:rFonts w:ascii="仿宋" w:hAnsi="仿宋" w:eastAsia="仿宋"/>
          <w:bCs/>
          <w:color w:val="auto"/>
          <w:sz w:val="28"/>
        </w:rPr>
        <w:t>95%</w:t>
      </w:r>
      <w:r>
        <w:rPr>
          <w:rFonts w:hint="eastAsia" w:ascii="仿宋" w:hAnsi="仿宋" w:eastAsia="仿宋"/>
          <w:bCs/>
          <w:color w:val="auto"/>
          <w:sz w:val="28"/>
        </w:rPr>
        <w:t>,</w:t>
      </w:r>
      <w:r>
        <w:rPr>
          <w:rFonts w:ascii="仿宋" w:hAnsi="仿宋" w:eastAsia="仿宋"/>
          <w:bCs/>
          <w:color w:val="auto"/>
          <w:sz w:val="28"/>
        </w:rPr>
        <w:t>责令30日内整改</w:t>
      </w:r>
      <w:r>
        <w:rPr>
          <w:rFonts w:hint="eastAsia" w:ascii="仿宋" w:hAnsi="仿宋" w:eastAsia="仿宋"/>
          <w:bCs/>
          <w:color w:val="auto"/>
          <w:sz w:val="28"/>
        </w:rPr>
        <w:t>，（参考</w:t>
      </w:r>
      <w:r>
        <w:rPr>
          <w:rFonts w:ascii="仿宋" w:hAnsi="仿宋" w:eastAsia="仿宋"/>
          <w:bCs/>
          <w:color w:val="auto"/>
          <w:sz w:val="28"/>
        </w:rPr>
        <w:t>GB50974</w:t>
      </w:r>
      <w:r>
        <w:rPr>
          <w:rFonts w:hint="eastAsia" w:ascii="仿宋" w:hAnsi="仿宋" w:eastAsia="仿宋"/>
          <w:bCs/>
          <w:color w:val="auto"/>
          <w:sz w:val="28"/>
        </w:rPr>
        <w:t>：</w:t>
      </w:r>
      <w:r>
        <w:rPr>
          <w:rFonts w:ascii="仿宋" w:hAnsi="仿宋" w:eastAsia="仿宋"/>
          <w:bCs/>
          <w:color w:val="auto"/>
          <w:sz w:val="28"/>
        </w:rPr>
        <w:t>2014标准）</w:t>
      </w:r>
      <w:r>
        <w:rPr>
          <w:rFonts w:hint="eastAsia" w:ascii="仿宋" w:hAnsi="仿宋" w:eastAsia="仿宋"/>
          <w:bCs/>
          <w:color w:val="auto"/>
          <w:sz w:val="28"/>
        </w:rPr>
        <w:t>。</w:t>
      </w:r>
      <w:r>
        <w:rPr>
          <w:rFonts w:ascii="仿宋" w:hAnsi="仿宋" w:eastAsia="仿宋"/>
          <w:b/>
          <w:bCs/>
          <w:color w:val="auto"/>
          <w:sz w:val="28"/>
        </w:rPr>
        <w:t>2</w:t>
      </w:r>
      <w:r>
        <w:rPr>
          <w:rFonts w:hint="eastAsia" w:ascii="仿宋" w:hAnsi="仿宋" w:eastAsia="仿宋"/>
          <w:b/>
          <w:bCs/>
          <w:color w:val="auto"/>
          <w:sz w:val="28"/>
        </w:rPr>
        <w:t>、橙色预警</w:t>
      </w:r>
      <w:r>
        <w:rPr>
          <w:rFonts w:hint="eastAsia" w:ascii="仿宋" w:hAnsi="仿宋" w:eastAsia="仿宋"/>
          <w:bCs/>
          <w:color w:val="auto"/>
          <w:sz w:val="28"/>
        </w:rPr>
        <w:t>:超过3</w:t>
      </w:r>
      <w:r>
        <w:rPr>
          <w:rFonts w:ascii="仿宋" w:hAnsi="仿宋" w:eastAsia="仿宋"/>
          <w:bCs/>
          <w:color w:val="auto"/>
          <w:sz w:val="28"/>
        </w:rPr>
        <w:t>0</w:t>
      </w:r>
      <w:r>
        <w:rPr>
          <w:rFonts w:hint="eastAsia" w:ascii="仿宋" w:hAnsi="仿宋" w:eastAsia="仿宋"/>
          <w:bCs/>
          <w:color w:val="auto"/>
          <w:sz w:val="28"/>
        </w:rPr>
        <w:t>天未缴纳年度特许费或分红延迟支付超</w:t>
      </w:r>
      <w:r>
        <w:rPr>
          <w:rFonts w:ascii="仿宋" w:hAnsi="仿宋" w:eastAsia="仿宋"/>
          <w:bCs/>
          <w:color w:val="auto"/>
          <w:sz w:val="28"/>
        </w:rPr>
        <w:t>30天</w:t>
      </w:r>
      <w:r>
        <w:rPr>
          <w:rFonts w:hint="eastAsia" w:ascii="仿宋" w:hAnsi="仿宋" w:eastAsia="仿宋"/>
          <w:bCs/>
          <w:color w:val="auto"/>
          <w:sz w:val="28"/>
        </w:rPr>
        <w:t>,</w:t>
      </w:r>
      <w:r>
        <w:rPr>
          <w:rFonts w:ascii="仿宋" w:hAnsi="仿宋" w:eastAsia="仿宋"/>
          <w:bCs/>
          <w:color w:val="auto"/>
          <w:sz w:val="28"/>
        </w:rPr>
        <w:t>冻结部分经营权收益</w:t>
      </w:r>
      <w:r>
        <w:rPr>
          <w:rFonts w:hint="eastAsia" w:ascii="仿宋" w:hAnsi="仿宋" w:eastAsia="仿宋"/>
          <w:bCs/>
          <w:color w:val="auto"/>
          <w:sz w:val="28"/>
        </w:rPr>
        <w:t>。</w:t>
      </w:r>
      <w:r>
        <w:rPr>
          <w:rFonts w:ascii="仿宋" w:hAnsi="仿宋" w:eastAsia="仿宋"/>
          <w:b/>
          <w:bCs/>
          <w:color w:val="auto"/>
          <w:sz w:val="28"/>
        </w:rPr>
        <w:t>3</w:t>
      </w:r>
      <w:r>
        <w:rPr>
          <w:rFonts w:hint="eastAsia" w:ascii="仿宋" w:hAnsi="仿宋" w:eastAsia="仿宋"/>
          <w:b/>
          <w:bCs/>
          <w:color w:val="auto"/>
          <w:sz w:val="28"/>
        </w:rPr>
        <w:t>、红色预警:</w:t>
      </w:r>
      <w:r>
        <w:rPr>
          <w:rFonts w:hint="eastAsia" w:ascii="仿宋" w:hAnsi="仿宋" w:eastAsia="仿宋"/>
          <w:b w:val="0"/>
          <w:bCs w:val="0"/>
          <w:color w:val="auto"/>
          <w:sz w:val="28"/>
        </w:rPr>
        <w:t>发生重大水质污染事故或</w:t>
      </w:r>
      <w:r>
        <w:rPr>
          <w:rFonts w:hint="eastAsia" w:ascii="仿宋" w:hAnsi="仿宋" w:eastAsia="仿宋"/>
          <w:bCs/>
          <w:color w:val="auto"/>
          <w:sz w:val="28"/>
        </w:rPr>
        <w:t>连续两年亏损合计超过</w:t>
      </w:r>
      <w:r>
        <w:rPr>
          <w:rFonts w:hint="eastAsia" w:ascii="仿宋" w:hAnsi="仿宋" w:eastAsia="仿宋"/>
          <w:bCs/>
          <w:color w:val="auto"/>
          <w:sz w:val="28"/>
          <w:lang w:val="en-US" w:eastAsia="zh-CN"/>
        </w:rPr>
        <w:t>3</w:t>
      </w:r>
      <w:r>
        <w:rPr>
          <w:rFonts w:ascii="仿宋" w:hAnsi="仿宋" w:eastAsia="仿宋"/>
          <w:bCs/>
          <w:color w:val="auto"/>
          <w:sz w:val="28"/>
        </w:rPr>
        <w:t>000万元</w:t>
      </w:r>
      <w:r>
        <w:rPr>
          <w:rFonts w:hint="eastAsia" w:ascii="仿宋" w:hAnsi="仿宋" w:eastAsia="仿宋"/>
          <w:bCs/>
          <w:color w:val="auto"/>
          <w:sz w:val="28"/>
        </w:rPr>
        <w:t>,启动应急机制，按照合同约定，</w:t>
      </w:r>
      <w:r>
        <w:rPr>
          <w:rFonts w:ascii="仿宋" w:hAnsi="仿宋" w:eastAsia="仿宋"/>
          <w:bCs/>
          <w:color w:val="auto"/>
          <w:sz w:val="28"/>
        </w:rPr>
        <w:t>政府临时接管。</w:t>
      </w:r>
    </w:p>
    <w:p w14:paraId="7B32AE8F">
      <w:pPr>
        <w:pStyle w:val="4"/>
        <w:ind w:firstLine="643"/>
        <w:rPr>
          <w:color w:val="auto"/>
        </w:rPr>
      </w:pPr>
      <w:bookmarkStart w:id="35" w:name="_Toc15825"/>
      <w:r>
        <w:rPr>
          <w:rFonts w:hint="eastAsia"/>
          <w:color w:val="auto"/>
        </w:rPr>
        <w:t>（五）风险处置机制</w:t>
      </w:r>
      <w:bookmarkEnd w:id="35"/>
    </w:p>
    <w:p w14:paraId="625F96E3">
      <w:pPr>
        <w:ind w:firstLine="562" w:firstLineChars="200"/>
        <w:rPr>
          <w:rFonts w:hint="eastAsia" w:ascii="仿宋" w:hAnsi="仿宋" w:eastAsia="仿宋"/>
          <w:color w:val="auto"/>
          <w:sz w:val="28"/>
        </w:rPr>
      </w:pPr>
      <w:r>
        <w:rPr>
          <w:rFonts w:hint="eastAsia" w:ascii="仿宋" w:hAnsi="仿宋" w:eastAsia="仿宋"/>
          <w:b/>
          <w:bCs/>
          <w:color w:val="auto"/>
          <w:sz w:val="28"/>
        </w:rPr>
        <w:t>1、价格调整</w:t>
      </w:r>
      <w:r>
        <w:rPr>
          <w:rFonts w:hint="eastAsia" w:ascii="仿宋" w:hAnsi="仿宋" w:eastAsia="仿宋"/>
          <w:color w:val="auto"/>
          <w:sz w:val="28"/>
        </w:rPr>
        <w:t>：若新</w:t>
      </w:r>
      <w:r>
        <w:rPr>
          <w:rFonts w:hint="eastAsia" w:ascii="仿宋" w:hAnsi="仿宋" w:eastAsia="仿宋"/>
          <w:color w:val="auto"/>
          <w:sz w:val="28"/>
          <w:lang w:eastAsia="zh-CN"/>
        </w:rPr>
        <w:t>特许经营者</w:t>
      </w:r>
      <w:r>
        <w:rPr>
          <w:rFonts w:hint="eastAsia" w:ascii="仿宋" w:hAnsi="仿宋" w:eastAsia="仿宋"/>
          <w:color w:val="auto"/>
          <w:sz w:val="28"/>
        </w:rPr>
        <w:t>连续</w:t>
      </w:r>
      <w:r>
        <w:rPr>
          <w:rFonts w:hint="eastAsia" w:ascii="仿宋" w:hAnsi="仿宋" w:eastAsia="仿宋"/>
          <w:color w:val="auto"/>
          <w:sz w:val="28"/>
          <w:lang w:val="en-US" w:eastAsia="zh-CN"/>
        </w:rPr>
        <w:t>三</w:t>
      </w:r>
      <w:bookmarkStart w:id="37" w:name="_GoBack"/>
      <w:bookmarkEnd w:id="37"/>
      <w:r>
        <w:rPr>
          <w:rFonts w:hint="eastAsia" w:ascii="仿宋" w:hAnsi="仿宋" w:eastAsia="仿宋"/>
          <w:color w:val="auto"/>
          <w:sz w:val="28"/>
        </w:rPr>
        <w:t>年净利润率＜5%，启动价格听证程序，使用成本监审方式，经政府批准后可上调水价（幅度≤10%）。</w:t>
      </w:r>
      <w:r>
        <w:rPr>
          <w:rFonts w:hint="eastAsia" w:ascii="仿宋" w:hAnsi="仿宋" w:eastAsia="仿宋"/>
          <w:b/>
          <w:color w:val="auto"/>
          <w:sz w:val="28"/>
        </w:rPr>
        <w:t>2、应急保障：</w:t>
      </w:r>
      <w:r>
        <w:rPr>
          <w:rFonts w:hint="eastAsia" w:ascii="仿宋" w:hAnsi="仿宋" w:eastAsia="仿宋"/>
          <w:color w:val="auto"/>
          <w:sz w:val="28"/>
        </w:rPr>
        <w:t>企业制定《</w:t>
      </w:r>
      <w:r>
        <w:rPr>
          <w:rFonts w:hint="eastAsia" w:ascii="仿宋" w:hAnsi="仿宋" w:eastAsia="仿宋"/>
          <w:color w:val="auto"/>
          <w:sz w:val="28"/>
          <w:lang w:eastAsia="zh-CN"/>
        </w:rPr>
        <w:t>供水</w:t>
      </w:r>
      <w:r>
        <w:rPr>
          <w:rFonts w:hint="eastAsia" w:ascii="仿宋" w:hAnsi="仿宋" w:eastAsia="仿宋"/>
          <w:color w:val="auto"/>
          <w:sz w:val="28"/>
        </w:rPr>
        <w:t>安全应急预案》，储备应急物资，政府建立应急</w:t>
      </w:r>
      <w:r>
        <w:rPr>
          <w:rFonts w:hint="eastAsia" w:ascii="仿宋" w:hAnsi="仿宋" w:eastAsia="仿宋"/>
          <w:color w:val="auto"/>
          <w:sz w:val="28"/>
          <w:lang w:eastAsia="zh-CN"/>
        </w:rPr>
        <w:t>供水</w:t>
      </w:r>
      <w:r>
        <w:rPr>
          <w:rFonts w:hint="eastAsia" w:ascii="仿宋" w:hAnsi="仿宋" w:eastAsia="仿宋"/>
          <w:color w:val="auto"/>
          <w:sz w:val="28"/>
        </w:rPr>
        <w:t>调度机制，确保极端情况下</w:t>
      </w:r>
      <w:r>
        <w:rPr>
          <w:rFonts w:hint="eastAsia" w:ascii="仿宋" w:hAnsi="仿宋" w:eastAsia="仿宋"/>
          <w:color w:val="auto"/>
          <w:sz w:val="28"/>
          <w:lang w:eastAsia="zh-CN"/>
        </w:rPr>
        <w:t>供水</w:t>
      </w:r>
      <w:r>
        <w:rPr>
          <w:rFonts w:hint="eastAsia" w:ascii="仿宋" w:hAnsi="仿宋" w:eastAsia="仿宋"/>
          <w:color w:val="auto"/>
          <w:sz w:val="28"/>
        </w:rPr>
        <w:t>稳定。</w:t>
      </w:r>
      <w:r>
        <w:rPr>
          <w:rFonts w:ascii="仿宋" w:hAnsi="仿宋" w:eastAsia="仿宋"/>
          <w:b/>
          <w:bCs/>
          <w:color w:val="auto"/>
          <w:sz w:val="28"/>
        </w:rPr>
        <w:t>3</w:t>
      </w:r>
      <w:r>
        <w:rPr>
          <w:rFonts w:hint="eastAsia" w:ascii="仿宋" w:hAnsi="仿宋" w:eastAsia="仿宋"/>
          <w:b/>
          <w:bCs/>
          <w:color w:val="auto"/>
          <w:sz w:val="28"/>
        </w:rPr>
        <w:t>、应急接管</w:t>
      </w:r>
      <w:r>
        <w:rPr>
          <w:rFonts w:hint="eastAsia" w:ascii="仿宋" w:hAnsi="仿宋" w:eastAsia="仿宋"/>
          <w:color w:val="auto"/>
          <w:sz w:val="28"/>
        </w:rPr>
        <w:t>：当发生重大水质污染事故或超过</w:t>
      </w:r>
      <w:r>
        <w:rPr>
          <w:rFonts w:ascii="仿宋" w:hAnsi="仿宋" w:eastAsia="仿宋"/>
          <w:color w:val="auto"/>
          <w:sz w:val="28"/>
        </w:rPr>
        <w:t>3</w:t>
      </w:r>
      <w:r>
        <w:rPr>
          <w:rFonts w:hint="eastAsia" w:ascii="仿宋" w:hAnsi="仿宋" w:eastAsia="仿宋"/>
          <w:color w:val="auto"/>
          <w:sz w:val="28"/>
        </w:rPr>
        <w:t>个月未缴纳年度资源使用费时，政府有权临时接管经营权，直至风险解除。</w:t>
      </w:r>
    </w:p>
    <w:p w14:paraId="082C74E2">
      <w:pPr>
        <w:pStyle w:val="3"/>
        <w:rPr>
          <w:rFonts w:hint="eastAsia"/>
          <w:color w:val="auto"/>
        </w:rPr>
      </w:pPr>
      <w:bookmarkStart w:id="36" w:name="_Toc6167"/>
      <w:r>
        <w:rPr>
          <w:rFonts w:hint="eastAsia"/>
          <w:color w:val="auto"/>
          <w:lang w:val="en-US" w:eastAsia="zh-CN"/>
        </w:rPr>
        <w:t>八</w:t>
      </w:r>
      <w:r>
        <w:rPr>
          <w:rFonts w:hint="eastAsia"/>
          <w:color w:val="auto"/>
        </w:rPr>
        <w:t>、附则</w:t>
      </w:r>
      <w:bookmarkEnd w:id="36"/>
    </w:p>
    <w:p w14:paraId="2C8CC397">
      <w:pPr>
        <w:ind w:firstLine="560" w:firstLineChars="200"/>
        <w:rPr>
          <w:rFonts w:hint="eastAsia" w:ascii="仿宋" w:hAnsi="仿宋" w:eastAsia="仿宋"/>
          <w:color w:val="auto"/>
          <w:sz w:val="28"/>
        </w:rPr>
      </w:pPr>
      <w:r>
        <w:rPr>
          <w:rFonts w:hint="eastAsia" w:ascii="仿宋" w:hAnsi="仿宋" w:eastAsia="仿宋"/>
          <w:color w:val="auto"/>
          <w:sz w:val="28"/>
        </w:rPr>
        <w:t>本方案由</w:t>
      </w:r>
      <w:r>
        <w:rPr>
          <w:rFonts w:hint="eastAsia" w:ascii="仿宋" w:hAnsi="仿宋" w:eastAsia="仿宋"/>
          <w:color w:val="auto"/>
          <w:sz w:val="28"/>
          <w:lang w:eastAsia="zh-CN"/>
        </w:rPr>
        <w:t>县水利局、</w:t>
      </w:r>
      <w:r>
        <w:rPr>
          <w:rFonts w:hint="eastAsia" w:ascii="仿宋" w:hAnsi="仿宋" w:eastAsia="仿宋"/>
          <w:color w:val="auto"/>
          <w:sz w:val="28"/>
          <w:lang w:val="en-US" w:eastAsia="zh-CN"/>
        </w:rPr>
        <w:t>县</w:t>
      </w:r>
      <w:r>
        <w:rPr>
          <w:rFonts w:hint="eastAsia" w:ascii="仿宋" w:hAnsi="仿宋" w:eastAsia="仿宋"/>
          <w:color w:val="auto"/>
          <w:sz w:val="28"/>
          <w:lang w:eastAsia="zh-CN"/>
        </w:rPr>
        <w:t>住房和城乡建设局</w:t>
      </w:r>
      <w:r>
        <w:rPr>
          <w:rFonts w:hint="eastAsia" w:ascii="仿宋" w:hAnsi="仿宋" w:eastAsia="仿宋"/>
          <w:color w:val="auto"/>
          <w:sz w:val="28"/>
        </w:rPr>
        <w:t>负责解释</w:t>
      </w:r>
      <w:r>
        <w:rPr>
          <w:rFonts w:hint="eastAsia" w:ascii="仿宋" w:hAnsi="仿宋" w:eastAsia="仿宋"/>
          <w:color w:val="auto"/>
          <w:sz w:val="28"/>
          <w:lang w:val="en-US" w:eastAsia="zh-CN"/>
        </w:rPr>
        <w:t>和</w:t>
      </w:r>
      <w:r>
        <w:rPr>
          <w:rFonts w:hint="eastAsia" w:ascii="仿宋" w:hAnsi="仿宋" w:eastAsia="仿宋"/>
          <w:color w:val="auto"/>
          <w:sz w:val="28"/>
        </w:rPr>
        <w:t>细化。</w:t>
      </w:r>
    </w:p>
    <w:p w14:paraId="2F384841">
      <w:pPr>
        <w:ind w:firstLine="560" w:firstLineChars="200"/>
        <w:rPr>
          <w:rFonts w:hint="eastAsia" w:ascii="仿宋_GB2312" w:hAnsi="宋体" w:eastAsia="仿宋_GB2312"/>
          <w:color w:val="auto"/>
          <w:sz w:val="28"/>
        </w:rPr>
      </w:pPr>
      <w:r>
        <w:rPr>
          <w:rFonts w:hint="eastAsia" w:ascii="仿宋" w:hAnsi="仿宋" w:eastAsia="仿宋"/>
          <w:color w:val="auto"/>
          <w:sz w:val="28"/>
        </w:rPr>
        <w:t>实施过程中如遇国家或自治区政策调整，按最新规定执行。</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5D22E6-EC91-400F-A6E0-B785A4E45964}"/>
  </w:font>
  <w:font w:name="Courier New">
    <w:panose1 w:val="02070309020205020404"/>
    <w:charset w:val="01"/>
    <w:family w:val="modern"/>
    <w:pitch w:val="default"/>
    <w:sig w:usb0="E0002EFF" w:usb1="C0007843" w:usb2="00000009" w:usb3="00000000" w:csb0="400001FF" w:csb1="FFFF0000"/>
    <w:embedRegular r:id="rId2" w:fontKey="{D5529CBF-6A68-4098-AFA7-D2C5F9799AE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9FE4B54-AFB4-4C53-9857-23095F759EA3}"/>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4" w:fontKey="{E4ED653E-16D2-40A6-8CC8-D53C492C8287}"/>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5" w:fontKey="{9ACFB015-E64E-4A18-AE46-BF1599E7A687}"/>
  </w:font>
  <w:font w:name="微软雅黑">
    <w:panose1 w:val="020B0503020204020204"/>
    <w:charset w:val="86"/>
    <w:family w:val="swiss"/>
    <w:pitch w:val="default"/>
    <w:sig w:usb0="80000287" w:usb1="2ACF3C50" w:usb2="00000016" w:usb3="00000000" w:csb0="0004001F" w:csb1="00000000"/>
    <w:embedRegular r:id="rId6" w:fontKey="{3CCE6D31-7960-4816-AE51-F03B5278EDC3}"/>
  </w:font>
  <w:font w:name="仿宋_GB2312">
    <w:altName w:val="仿宋"/>
    <w:panose1 w:val="00000000000000000000"/>
    <w:charset w:val="86"/>
    <w:family w:val="modern"/>
    <w:pitch w:val="default"/>
    <w:sig w:usb0="00000000" w:usb1="00000000" w:usb2="00000000" w:usb3="00000000" w:csb0="00040000" w:csb1="00000000"/>
    <w:embedRegular r:id="rId7" w:fontKey="{65167F9F-9690-422B-9C08-32A1EF981F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ECEB">
    <w:pPr>
      <w:pStyle w:val="6"/>
      <w:rPr>
        <w:rFonts w:hint="eastAsia"/>
      </w:rPr>
    </w:pPr>
  </w:p>
  <w:p w14:paraId="1EE5AB92">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D15E">
    <w:pPr>
      <w:pStyle w:val="6"/>
      <w:rPr>
        <w:rFonts w:hint="eastAsia"/>
      </w:rPr>
    </w:pPr>
  </w:p>
  <w:p w14:paraId="5BA5C29D">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74A77">
    <w:pPr>
      <w:pStyle w:val="6"/>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307"/>
                          </w:sdtPr>
                          <w:sdtContent>
                            <w:sdt>
                              <w:sdtPr>
                                <w:id w:val="147467450"/>
                              </w:sdtPr>
                              <w:sdtContent>
                                <w:p w14:paraId="50D8B4E6">
                                  <w:pPr>
                                    <w:pStyle w:val="6"/>
                                    <w:rPr>
                                      <w:rFonts w:hint="eastAsia"/>
                                    </w:rPr>
                                  </w:pP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14:paraId="24A0BC3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47469307"/>
                    </w:sdtPr>
                    <w:sdtContent>
                      <w:sdt>
                        <w:sdtPr>
                          <w:id w:val="147467450"/>
                        </w:sdtPr>
                        <w:sdtContent>
                          <w:p w14:paraId="50D8B4E6">
                            <w:pPr>
                              <w:pStyle w:val="6"/>
                              <w:rPr>
                                <w:rFonts w:hint="eastAsia"/>
                              </w:rPr>
                            </w:pP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14:paraId="24A0BC37">
                    <w:pPr>
                      <w:rPr>
                        <w:rFonts w:hint="eastAsia"/>
                      </w:rPr>
                    </w:pPr>
                  </w:p>
                </w:txbxContent>
              </v:textbox>
            </v:shape>
          </w:pict>
        </mc:Fallback>
      </mc:AlternateContent>
    </w:r>
  </w:p>
  <w:p w14:paraId="2E60B962">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87"/>
    <w:rsid w:val="000001CA"/>
    <w:rsid w:val="0000069E"/>
    <w:rsid w:val="00000B7E"/>
    <w:rsid w:val="00003DE2"/>
    <w:rsid w:val="000048BB"/>
    <w:rsid w:val="00004946"/>
    <w:rsid w:val="000073A5"/>
    <w:rsid w:val="00012415"/>
    <w:rsid w:val="000137C9"/>
    <w:rsid w:val="00015D79"/>
    <w:rsid w:val="00020C09"/>
    <w:rsid w:val="000232E2"/>
    <w:rsid w:val="00024349"/>
    <w:rsid w:val="00026690"/>
    <w:rsid w:val="000271CA"/>
    <w:rsid w:val="000321CC"/>
    <w:rsid w:val="00033607"/>
    <w:rsid w:val="00033D88"/>
    <w:rsid w:val="00033FD2"/>
    <w:rsid w:val="00034492"/>
    <w:rsid w:val="000350A2"/>
    <w:rsid w:val="00037715"/>
    <w:rsid w:val="000429AD"/>
    <w:rsid w:val="00051939"/>
    <w:rsid w:val="00052710"/>
    <w:rsid w:val="00053CB6"/>
    <w:rsid w:val="00055BC7"/>
    <w:rsid w:val="00070550"/>
    <w:rsid w:val="0007111D"/>
    <w:rsid w:val="00074500"/>
    <w:rsid w:val="00074639"/>
    <w:rsid w:val="000753E6"/>
    <w:rsid w:val="00076945"/>
    <w:rsid w:val="000824B5"/>
    <w:rsid w:val="00085DC8"/>
    <w:rsid w:val="000903BC"/>
    <w:rsid w:val="00090AE2"/>
    <w:rsid w:val="000959FF"/>
    <w:rsid w:val="000A0E61"/>
    <w:rsid w:val="000A3D41"/>
    <w:rsid w:val="000A6A54"/>
    <w:rsid w:val="000A6EFF"/>
    <w:rsid w:val="000B4B22"/>
    <w:rsid w:val="000C1300"/>
    <w:rsid w:val="000C15A8"/>
    <w:rsid w:val="000C5422"/>
    <w:rsid w:val="000C6435"/>
    <w:rsid w:val="000D38FB"/>
    <w:rsid w:val="000D4A51"/>
    <w:rsid w:val="000E6B5A"/>
    <w:rsid w:val="000F31B1"/>
    <w:rsid w:val="000F51AF"/>
    <w:rsid w:val="000F5452"/>
    <w:rsid w:val="000F597E"/>
    <w:rsid w:val="000F730E"/>
    <w:rsid w:val="00100141"/>
    <w:rsid w:val="00113D9D"/>
    <w:rsid w:val="00113FCF"/>
    <w:rsid w:val="0011406A"/>
    <w:rsid w:val="00115C6F"/>
    <w:rsid w:val="00115E2A"/>
    <w:rsid w:val="00116DF9"/>
    <w:rsid w:val="00117445"/>
    <w:rsid w:val="00117FDA"/>
    <w:rsid w:val="0012297B"/>
    <w:rsid w:val="00123682"/>
    <w:rsid w:val="00125AD7"/>
    <w:rsid w:val="001260A0"/>
    <w:rsid w:val="0013173E"/>
    <w:rsid w:val="001325CC"/>
    <w:rsid w:val="0013399A"/>
    <w:rsid w:val="001355DB"/>
    <w:rsid w:val="001357BF"/>
    <w:rsid w:val="001407AF"/>
    <w:rsid w:val="00145BC9"/>
    <w:rsid w:val="001514DA"/>
    <w:rsid w:val="00156E18"/>
    <w:rsid w:val="00157917"/>
    <w:rsid w:val="00160371"/>
    <w:rsid w:val="00165026"/>
    <w:rsid w:val="001650A6"/>
    <w:rsid w:val="00170F11"/>
    <w:rsid w:val="001712C9"/>
    <w:rsid w:val="001722BE"/>
    <w:rsid w:val="00174FEA"/>
    <w:rsid w:val="001753C6"/>
    <w:rsid w:val="00176366"/>
    <w:rsid w:val="00181316"/>
    <w:rsid w:val="00181FB4"/>
    <w:rsid w:val="001835E7"/>
    <w:rsid w:val="00183944"/>
    <w:rsid w:val="00184752"/>
    <w:rsid w:val="001929BC"/>
    <w:rsid w:val="00192AED"/>
    <w:rsid w:val="001943D1"/>
    <w:rsid w:val="001A01AE"/>
    <w:rsid w:val="001A0FE1"/>
    <w:rsid w:val="001A157C"/>
    <w:rsid w:val="001A3223"/>
    <w:rsid w:val="001A35BC"/>
    <w:rsid w:val="001A5AE7"/>
    <w:rsid w:val="001B14E6"/>
    <w:rsid w:val="001B4769"/>
    <w:rsid w:val="001B5A3F"/>
    <w:rsid w:val="001B75B4"/>
    <w:rsid w:val="001C48B6"/>
    <w:rsid w:val="001C6592"/>
    <w:rsid w:val="001D4A44"/>
    <w:rsid w:val="001D558A"/>
    <w:rsid w:val="001E3CCC"/>
    <w:rsid w:val="001E4EE7"/>
    <w:rsid w:val="001E522E"/>
    <w:rsid w:val="001E607C"/>
    <w:rsid w:val="001E68A8"/>
    <w:rsid w:val="001F1255"/>
    <w:rsid w:val="001F6668"/>
    <w:rsid w:val="0020007D"/>
    <w:rsid w:val="0020247C"/>
    <w:rsid w:val="00207734"/>
    <w:rsid w:val="00216C56"/>
    <w:rsid w:val="002226F2"/>
    <w:rsid w:val="00224966"/>
    <w:rsid w:val="0023020B"/>
    <w:rsid w:val="00233BD3"/>
    <w:rsid w:val="002367C3"/>
    <w:rsid w:val="00241C6D"/>
    <w:rsid w:val="00241FD8"/>
    <w:rsid w:val="00243F5D"/>
    <w:rsid w:val="00253867"/>
    <w:rsid w:val="00260DCD"/>
    <w:rsid w:val="00263776"/>
    <w:rsid w:val="002649CF"/>
    <w:rsid w:val="00266C9D"/>
    <w:rsid w:val="00270B64"/>
    <w:rsid w:val="002711E9"/>
    <w:rsid w:val="002724D2"/>
    <w:rsid w:val="002727D3"/>
    <w:rsid w:val="00272FA6"/>
    <w:rsid w:val="0027316C"/>
    <w:rsid w:val="002741AA"/>
    <w:rsid w:val="00274D42"/>
    <w:rsid w:val="00282313"/>
    <w:rsid w:val="00283A42"/>
    <w:rsid w:val="00285AFC"/>
    <w:rsid w:val="00285B86"/>
    <w:rsid w:val="0029001D"/>
    <w:rsid w:val="00293FCA"/>
    <w:rsid w:val="00293FD1"/>
    <w:rsid w:val="00294ED4"/>
    <w:rsid w:val="002A4FB5"/>
    <w:rsid w:val="002A5429"/>
    <w:rsid w:val="002B617C"/>
    <w:rsid w:val="002B78BA"/>
    <w:rsid w:val="002C6A95"/>
    <w:rsid w:val="002D048E"/>
    <w:rsid w:val="002D0CE4"/>
    <w:rsid w:val="002D36FF"/>
    <w:rsid w:val="002E05CF"/>
    <w:rsid w:val="002F03F1"/>
    <w:rsid w:val="002F0FED"/>
    <w:rsid w:val="002F4D23"/>
    <w:rsid w:val="002F6740"/>
    <w:rsid w:val="003008FC"/>
    <w:rsid w:val="00300947"/>
    <w:rsid w:val="00303FCE"/>
    <w:rsid w:val="003043A6"/>
    <w:rsid w:val="00304C78"/>
    <w:rsid w:val="00304EFF"/>
    <w:rsid w:val="00307F42"/>
    <w:rsid w:val="00322861"/>
    <w:rsid w:val="00322F0F"/>
    <w:rsid w:val="0032350F"/>
    <w:rsid w:val="00327C30"/>
    <w:rsid w:val="00334DFE"/>
    <w:rsid w:val="0033742E"/>
    <w:rsid w:val="00340553"/>
    <w:rsid w:val="00341674"/>
    <w:rsid w:val="003459F6"/>
    <w:rsid w:val="00346ECA"/>
    <w:rsid w:val="00351BCA"/>
    <w:rsid w:val="00357528"/>
    <w:rsid w:val="00363045"/>
    <w:rsid w:val="0036371F"/>
    <w:rsid w:val="003650A3"/>
    <w:rsid w:val="00367016"/>
    <w:rsid w:val="003670AF"/>
    <w:rsid w:val="0036781B"/>
    <w:rsid w:val="003705DA"/>
    <w:rsid w:val="00371B1D"/>
    <w:rsid w:val="003744E1"/>
    <w:rsid w:val="00374728"/>
    <w:rsid w:val="00382716"/>
    <w:rsid w:val="00384749"/>
    <w:rsid w:val="00395AFD"/>
    <w:rsid w:val="003A2980"/>
    <w:rsid w:val="003A5272"/>
    <w:rsid w:val="003B3B79"/>
    <w:rsid w:val="003B6959"/>
    <w:rsid w:val="003C2F09"/>
    <w:rsid w:val="003C468C"/>
    <w:rsid w:val="003C6EC3"/>
    <w:rsid w:val="003C7D4B"/>
    <w:rsid w:val="003D080C"/>
    <w:rsid w:val="003D0DFB"/>
    <w:rsid w:val="003D179E"/>
    <w:rsid w:val="003D22FC"/>
    <w:rsid w:val="003D3796"/>
    <w:rsid w:val="003D4FF6"/>
    <w:rsid w:val="003D5D6B"/>
    <w:rsid w:val="003D6E4A"/>
    <w:rsid w:val="003D7140"/>
    <w:rsid w:val="003D74EC"/>
    <w:rsid w:val="003E2A19"/>
    <w:rsid w:val="003E7E33"/>
    <w:rsid w:val="003F068A"/>
    <w:rsid w:val="003F550A"/>
    <w:rsid w:val="003F5A36"/>
    <w:rsid w:val="003F646C"/>
    <w:rsid w:val="003F7DF6"/>
    <w:rsid w:val="0040175C"/>
    <w:rsid w:val="00403007"/>
    <w:rsid w:val="004076E4"/>
    <w:rsid w:val="0041113C"/>
    <w:rsid w:val="004121A5"/>
    <w:rsid w:val="0041413E"/>
    <w:rsid w:val="00414832"/>
    <w:rsid w:val="004160D4"/>
    <w:rsid w:val="004173E4"/>
    <w:rsid w:val="0042159B"/>
    <w:rsid w:val="00421E42"/>
    <w:rsid w:val="00432F46"/>
    <w:rsid w:val="00433FC8"/>
    <w:rsid w:val="0044453E"/>
    <w:rsid w:val="00444DAF"/>
    <w:rsid w:val="00445DEB"/>
    <w:rsid w:val="00445EE8"/>
    <w:rsid w:val="00446FA7"/>
    <w:rsid w:val="00450BCB"/>
    <w:rsid w:val="00451BBA"/>
    <w:rsid w:val="00452BD2"/>
    <w:rsid w:val="004533A2"/>
    <w:rsid w:val="00454886"/>
    <w:rsid w:val="00457794"/>
    <w:rsid w:val="00457D85"/>
    <w:rsid w:val="004605B9"/>
    <w:rsid w:val="00463E49"/>
    <w:rsid w:val="004653DC"/>
    <w:rsid w:val="00465D4E"/>
    <w:rsid w:val="00466B5A"/>
    <w:rsid w:val="0046700B"/>
    <w:rsid w:val="00471AF1"/>
    <w:rsid w:val="004738DD"/>
    <w:rsid w:val="0047530E"/>
    <w:rsid w:val="00475CD9"/>
    <w:rsid w:val="00476BA9"/>
    <w:rsid w:val="00477998"/>
    <w:rsid w:val="00480087"/>
    <w:rsid w:val="004822E4"/>
    <w:rsid w:val="004837F3"/>
    <w:rsid w:val="00484A60"/>
    <w:rsid w:val="00484C11"/>
    <w:rsid w:val="0048518E"/>
    <w:rsid w:val="004933D1"/>
    <w:rsid w:val="004952E4"/>
    <w:rsid w:val="00495338"/>
    <w:rsid w:val="004965B9"/>
    <w:rsid w:val="00496BEB"/>
    <w:rsid w:val="00496F32"/>
    <w:rsid w:val="0049709B"/>
    <w:rsid w:val="00497539"/>
    <w:rsid w:val="004A1A65"/>
    <w:rsid w:val="004A20CF"/>
    <w:rsid w:val="004A361B"/>
    <w:rsid w:val="004A39BD"/>
    <w:rsid w:val="004A3AFE"/>
    <w:rsid w:val="004A4EB7"/>
    <w:rsid w:val="004B1897"/>
    <w:rsid w:val="004B756A"/>
    <w:rsid w:val="004B7C00"/>
    <w:rsid w:val="004C4027"/>
    <w:rsid w:val="004C4ECD"/>
    <w:rsid w:val="004C6BA5"/>
    <w:rsid w:val="004C6BF7"/>
    <w:rsid w:val="004D4C26"/>
    <w:rsid w:val="004D534F"/>
    <w:rsid w:val="004D6CF4"/>
    <w:rsid w:val="004D6DB9"/>
    <w:rsid w:val="004E2D6A"/>
    <w:rsid w:val="004E3FC8"/>
    <w:rsid w:val="004E469D"/>
    <w:rsid w:val="004E5C90"/>
    <w:rsid w:val="004E79F6"/>
    <w:rsid w:val="004F04D1"/>
    <w:rsid w:val="00500A1C"/>
    <w:rsid w:val="00501289"/>
    <w:rsid w:val="00504B80"/>
    <w:rsid w:val="00505035"/>
    <w:rsid w:val="0050581E"/>
    <w:rsid w:val="00510028"/>
    <w:rsid w:val="0051121B"/>
    <w:rsid w:val="00513D05"/>
    <w:rsid w:val="00517E1E"/>
    <w:rsid w:val="00520367"/>
    <w:rsid w:val="00521E3C"/>
    <w:rsid w:val="00522F21"/>
    <w:rsid w:val="00524ECD"/>
    <w:rsid w:val="00532D4A"/>
    <w:rsid w:val="005360CF"/>
    <w:rsid w:val="00536487"/>
    <w:rsid w:val="0053758B"/>
    <w:rsid w:val="0054050D"/>
    <w:rsid w:val="005411EF"/>
    <w:rsid w:val="0054386B"/>
    <w:rsid w:val="00543F05"/>
    <w:rsid w:val="00544051"/>
    <w:rsid w:val="00544CCB"/>
    <w:rsid w:val="00554933"/>
    <w:rsid w:val="0056331D"/>
    <w:rsid w:val="00565515"/>
    <w:rsid w:val="0056662F"/>
    <w:rsid w:val="00570EC5"/>
    <w:rsid w:val="005812BD"/>
    <w:rsid w:val="005818C3"/>
    <w:rsid w:val="00581B2E"/>
    <w:rsid w:val="005831FB"/>
    <w:rsid w:val="005933C5"/>
    <w:rsid w:val="0059394E"/>
    <w:rsid w:val="00594AEC"/>
    <w:rsid w:val="0059701A"/>
    <w:rsid w:val="005A3957"/>
    <w:rsid w:val="005A42C2"/>
    <w:rsid w:val="005A46B5"/>
    <w:rsid w:val="005A5741"/>
    <w:rsid w:val="005A6376"/>
    <w:rsid w:val="005B2C24"/>
    <w:rsid w:val="005B7761"/>
    <w:rsid w:val="005C012D"/>
    <w:rsid w:val="005C164E"/>
    <w:rsid w:val="005C1D35"/>
    <w:rsid w:val="005C3556"/>
    <w:rsid w:val="005C4FA7"/>
    <w:rsid w:val="005C6F5E"/>
    <w:rsid w:val="005D0FCD"/>
    <w:rsid w:val="005D1668"/>
    <w:rsid w:val="005D440E"/>
    <w:rsid w:val="005D6764"/>
    <w:rsid w:val="005D718D"/>
    <w:rsid w:val="005E3D3A"/>
    <w:rsid w:val="005E436A"/>
    <w:rsid w:val="005E53E5"/>
    <w:rsid w:val="005E669F"/>
    <w:rsid w:val="005F1D46"/>
    <w:rsid w:val="005F2A63"/>
    <w:rsid w:val="005F2D11"/>
    <w:rsid w:val="005F4131"/>
    <w:rsid w:val="005F634A"/>
    <w:rsid w:val="005F6572"/>
    <w:rsid w:val="005F6638"/>
    <w:rsid w:val="005F6E70"/>
    <w:rsid w:val="005F7F75"/>
    <w:rsid w:val="00600720"/>
    <w:rsid w:val="00601CE6"/>
    <w:rsid w:val="006039BF"/>
    <w:rsid w:val="00604B12"/>
    <w:rsid w:val="00605E87"/>
    <w:rsid w:val="00610900"/>
    <w:rsid w:val="00615172"/>
    <w:rsid w:val="00620AE8"/>
    <w:rsid w:val="00626422"/>
    <w:rsid w:val="00626CAC"/>
    <w:rsid w:val="0063088B"/>
    <w:rsid w:val="00636AFE"/>
    <w:rsid w:val="00640991"/>
    <w:rsid w:val="006417DF"/>
    <w:rsid w:val="00644655"/>
    <w:rsid w:val="00644700"/>
    <w:rsid w:val="00645C4C"/>
    <w:rsid w:val="006520F9"/>
    <w:rsid w:val="006521A5"/>
    <w:rsid w:val="00653D87"/>
    <w:rsid w:val="00655070"/>
    <w:rsid w:val="00660696"/>
    <w:rsid w:val="00660A60"/>
    <w:rsid w:val="00665B4C"/>
    <w:rsid w:val="00667B1D"/>
    <w:rsid w:val="006802AF"/>
    <w:rsid w:val="00680882"/>
    <w:rsid w:val="00681B73"/>
    <w:rsid w:val="00683003"/>
    <w:rsid w:val="0069080D"/>
    <w:rsid w:val="006916FB"/>
    <w:rsid w:val="00691BE9"/>
    <w:rsid w:val="006934BA"/>
    <w:rsid w:val="00693A00"/>
    <w:rsid w:val="006948FD"/>
    <w:rsid w:val="00695E82"/>
    <w:rsid w:val="006965B5"/>
    <w:rsid w:val="00697D5A"/>
    <w:rsid w:val="006A0027"/>
    <w:rsid w:val="006A6BEF"/>
    <w:rsid w:val="006A784B"/>
    <w:rsid w:val="006B0AEA"/>
    <w:rsid w:val="006B1460"/>
    <w:rsid w:val="006B34F8"/>
    <w:rsid w:val="006C1C20"/>
    <w:rsid w:val="006C7BA7"/>
    <w:rsid w:val="006D0B06"/>
    <w:rsid w:val="006D3404"/>
    <w:rsid w:val="006E2A69"/>
    <w:rsid w:val="006E4F52"/>
    <w:rsid w:val="006E51DD"/>
    <w:rsid w:val="006F00DF"/>
    <w:rsid w:val="006F5A1D"/>
    <w:rsid w:val="006F77E4"/>
    <w:rsid w:val="00702193"/>
    <w:rsid w:val="00706597"/>
    <w:rsid w:val="0070744B"/>
    <w:rsid w:val="00710F99"/>
    <w:rsid w:val="007131F2"/>
    <w:rsid w:val="00717C0E"/>
    <w:rsid w:val="007211D3"/>
    <w:rsid w:val="00721F9B"/>
    <w:rsid w:val="00722090"/>
    <w:rsid w:val="007256B0"/>
    <w:rsid w:val="0073031C"/>
    <w:rsid w:val="007304A6"/>
    <w:rsid w:val="00730F90"/>
    <w:rsid w:val="007317BB"/>
    <w:rsid w:val="0073239B"/>
    <w:rsid w:val="007354C9"/>
    <w:rsid w:val="00735721"/>
    <w:rsid w:val="007378C8"/>
    <w:rsid w:val="0075114C"/>
    <w:rsid w:val="0075322C"/>
    <w:rsid w:val="00753D7E"/>
    <w:rsid w:val="00756EAD"/>
    <w:rsid w:val="007572C5"/>
    <w:rsid w:val="0076153E"/>
    <w:rsid w:val="00763587"/>
    <w:rsid w:val="00766882"/>
    <w:rsid w:val="007772E4"/>
    <w:rsid w:val="00782378"/>
    <w:rsid w:val="00785B2B"/>
    <w:rsid w:val="007875DD"/>
    <w:rsid w:val="00787E12"/>
    <w:rsid w:val="0079003B"/>
    <w:rsid w:val="007912E9"/>
    <w:rsid w:val="007923C4"/>
    <w:rsid w:val="0079596B"/>
    <w:rsid w:val="007A255C"/>
    <w:rsid w:val="007A291C"/>
    <w:rsid w:val="007A5ED2"/>
    <w:rsid w:val="007A6CF7"/>
    <w:rsid w:val="007A7811"/>
    <w:rsid w:val="007B1AA5"/>
    <w:rsid w:val="007B452F"/>
    <w:rsid w:val="007B46F7"/>
    <w:rsid w:val="007B4771"/>
    <w:rsid w:val="007C23F4"/>
    <w:rsid w:val="007C4C2B"/>
    <w:rsid w:val="007C70B0"/>
    <w:rsid w:val="007D49DF"/>
    <w:rsid w:val="007D5B2C"/>
    <w:rsid w:val="007D69D0"/>
    <w:rsid w:val="007E7526"/>
    <w:rsid w:val="007E7EC4"/>
    <w:rsid w:val="007F0D6D"/>
    <w:rsid w:val="007F1C10"/>
    <w:rsid w:val="007F34CE"/>
    <w:rsid w:val="007F43B7"/>
    <w:rsid w:val="007F4651"/>
    <w:rsid w:val="007F46A6"/>
    <w:rsid w:val="007F5D91"/>
    <w:rsid w:val="007F6CFD"/>
    <w:rsid w:val="00805557"/>
    <w:rsid w:val="008060C4"/>
    <w:rsid w:val="00806A5F"/>
    <w:rsid w:val="00810AFB"/>
    <w:rsid w:val="008116B9"/>
    <w:rsid w:val="0081338E"/>
    <w:rsid w:val="0081623C"/>
    <w:rsid w:val="00820C3B"/>
    <w:rsid w:val="00821C83"/>
    <w:rsid w:val="00822BFC"/>
    <w:rsid w:val="0082306E"/>
    <w:rsid w:val="008237B3"/>
    <w:rsid w:val="00826A2A"/>
    <w:rsid w:val="00826E18"/>
    <w:rsid w:val="00831E8C"/>
    <w:rsid w:val="00832F62"/>
    <w:rsid w:val="00837E4B"/>
    <w:rsid w:val="00840940"/>
    <w:rsid w:val="00843E86"/>
    <w:rsid w:val="008457A3"/>
    <w:rsid w:val="00847AA0"/>
    <w:rsid w:val="008639C8"/>
    <w:rsid w:val="008700D4"/>
    <w:rsid w:val="008723FE"/>
    <w:rsid w:val="00875209"/>
    <w:rsid w:val="0088120C"/>
    <w:rsid w:val="00881215"/>
    <w:rsid w:val="008848D6"/>
    <w:rsid w:val="008876A7"/>
    <w:rsid w:val="008913FB"/>
    <w:rsid w:val="0089146B"/>
    <w:rsid w:val="00893E6E"/>
    <w:rsid w:val="0089404E"/>
    <w:rsid w:val="008B1D91"/>
    <w:rsid w:val="008B1FAD"/>
    <w:rsid w:val="008B3FEA"/>
    <w:rsid w:val="008B40FA"/>
    <w:rsid w:val="008B4C7D"/>
    <w:rsid w:val="008B5199"/>
    <w:rsid w:val="008B56E6"/>
    <w:rsid w:val="008C3BD1"/>
    <w:rsid w:val="008D39AD"/>
    <w:rsid w:val="008D4D4F"/>
    <w:rsid w:val="008E36C2"/>
    <w:rsid w:val="008E60BE"/>
    <w:rsid w:val="008E697E"/>
    <w:rsid w:val="008F0D99"/>
    <w:rsid w:val="008F127F"/>
    <w:rsid w:val="008F1470"/>
    <w:rsid w:val="008F22C5"/>
    <w:rsid w:val="008F45F3"/>
    <w:rsid w:val="008F682B"/>
    <w:rsid w:val="009016F0"/>
    <w:rsid w:val="0090248F"/>
    <w:rsid w:val="00904B02"/>
    <w:rsid w:val="00910672"/>
    <w:rsid w:val="00912BEE"/>
    <w:rsid w:val="00912D8E"/>
    <w:rsid w:val="009135C9"/>
    <w:rsid w:val="00913E07"/>
    <w:rsid w:val="0092332A"/>
    <w:rsid w:val="00925200"/>
    <w:rsid w:val="00927C5B"/>
    <w:rsid w:val="009344CF"/>
    <w:rsid w:val="00940189"/>
    <w:rsid w:val="00942A56"/>
    <w:rsid w:val="009436D4"/>
    <w:rsid w:val="009501F8"/>
    <w:rsid w:val="00951406"/>
    <w:rsid w:val="00956BA1"/>
    <w:rsid w:val="00957F6A"/>
    <w:rsid w:val="009610FB"/>
    <w:rsid w:val="00961AEC"/>
    <w:rsid w:val="009630CB"/>
    <w:rsid w:val="00964AEC"/>
    <w:rsid w:val="00966D5A"/>
    <w:rsid w:val="00967CE0"/>
    <w:rsid w:val="00970936"/>
    <w:rsid w:val="0098032C"/>
    <w:rsid w:val="00983113"/>
    <w:rsid w:val="00983D31"/>
    <w:rsid w:val="00984C1C"/>
    <w:rsid w:val="00985344"/>
    <w:rsid w:val="009864F7"/>
    <w:rsid w:val="00986AB3"/>
    <w:rsid w:val="00990D13"/>
    <w:rsid w:val="00990D17"/>
    <w:rsid w:val="00993C48"/>
    <w:rsid w:val="009A13B3"/>
    <w:rsid w:val="009A67FD"/>
    <w:rsid w:val="009B1B3E"/>
    <w:rsid w:val="009B1EEE"/>
    <w:rsid w:val="009B7168"/>
    <w:rsid w:val="009C08A2"/>
    <w:rsid w:val="009C0A00"/>
    <w:rsid w:val="009C4489"/>
    <w:rsid w:val="009C66BE"/>
    <w:rsid w:val="009D0E8A"/>
    <w:rsid w:val="009D1C39"/>
    <w:rsid w:val="009D2216"/>
    <w:rsid w:val="009D3228"/>
    <w:rsid w:val="009D6D05"/>
    <w:rsid w:val="009E0C48"/>
    <w:rsid w:val="009E1F03"/>
    <w:rsid w:val="009E4052"/>
    <w:rsid w:val="009E5A62"/>
    <w:rsid w:val="009E6645"/>
    <w:rsid w:val="009E69F6"/>
    <w:rsid w:val="009E79E8"/>
    <w:rsid w:val="009F7409"/>
    <w:rsid w:val="00A013C7"/>
    <w:rsid w:val="00A02C74"/>
    <w:rsid w:val="00A035EA"/>
    <w:rsid w:val="00A0364A"/>
    <w:rsid w:val="00A058B8"/>
    <w:rsid w:val="00A075CA"/>
    <w:rsid w:val="00A10A69"/>
    <w:rsid w:val="00A1182B"/>
    <w:rsid w:val="00A15A8D"/>
    <w:rsid w:val="00A169CD"/>
    <w:rsid w:val="00A1703B"/>
    <w:rsid w:val="00A17572"/>
    <w:rsid w:val="00A17794"/>
    <w:rsid w:val="00A20388"/>
    <w:rsid w:val="00A215CD"/>
    <w:rsid w:val="00A21AEB"/>
    <w:rsid w:val="00A25EC7"/>
    <w:rsid w:val="00A277FB"/>
    <w:rsid w:val="00A27D72"/>
    <w:rsid w:val="00A31C8E"/>
    <w:rsid w:val="00A33450"/>
    <w:rsid w:val="00A354D0"/>
    <w:rsid w:val="00A377CE"/>
    <w:rsid w:val="00A41E15"/>
    <w:rsid w:val="00A431A4"/>
    <w:rsid w:val="00A44CEB"/>
    <w:rsid w:val="00A44E80"/>
    <w:rsid w:val="00A46075"/>
    <w:rsid w:val="00A55B68"/>
    <w:rsid w:val="00A570F1"/>
    <w:rsid w:val="00A63391"/>
    <w:rsid w:val="00A6549A"/>
    <w:rsid w:val="00A668D2"/>
    <w:rsid w:val="00A703AA"/>
    <w:rsid w:val="00A705FC"/>
    <w:rsid w:val="00A70D47"/>
    <w:rsid w:val="00A7226D"/>
    <w:rsid w:val="00A73BE1"/>
    <w:rsid w:val="00A75696"/>
    <w:rsid w:val="00A75AE5"/>
    <w:rsid w:val="00A84A99"/>
    <w:rsid w:val="00A84FF0"/>
    <w:rsid w:val="00A9041C"/>
    <w:rsid w:val="00A9202C"/>
    <w:rsid w:val="00A94554"/>
    <w:rsid w:val="00AA0EA9"/>
    <w:rsid w:val="00AA1586"/>
    <w:rsid w:val="00AA22EF"/>
    <w:rsid w:val="00AA313E"/>
    <w:rsid w:val="00AA3BE1"/>
    <w:rsid w:val="00AA4D4F"/>
    <w:rsid w:val="00AB1C59"/>
    <w:rsid w:val="00AB286F"/>
    <w:rsid w:val="00AB2AAA"/>
    <w:rsid w:val="00AB580A"/>
    <w:rsid w:val="00AB7519"/>
    <w:rsid w:val="00AB7A64"/>
    <w:rsid w:val="00AC0D8E"/>
    <w:rsid w:val="00AC3882"/>
    <w:rsid w:val="00AC4E79"/>
    <w:rsid w:val="00AC5FB1"/>
    <w:rsid w:val="00AC689A"/>
    <w:rsid w:val="00AC6E6F"/>
    <w:rsid w:val="00AD03B0"/>
    <w:rsid w:val="00AD2A88"/>
    <w:rsid w:val="00AD2F61"/>
    <w:rsid w:val="00AD59C3"/>
    <w:rsid w:val="00AD7F67"/>
    <w:rsid w:val="00AE0CE3"/>
    <w:rsid w:val="00AE0D59"/>
    <w:rsid w:val="00AE100A"/>
    <w:rsid w:val="00AE2ED8"/>
    <w:rsid w:val="00AF3B46"/>
    <w:rsid w:val="00AF3C5B"/>
    <w:rsid w:val="00AF7443"/>
    <w:rsid w:val="00B063F3"/>
    <w:rsid w:val="00B06CBF"/>
    <w:rsid w:val="00B078AE"/>
    <w:rsid w:val="00B106E4"/>
    <w:rsid w:val="00B12BCB"/>
    <w:rsid w:val="00B16382"/>
    <w:rsid w:val="00B16CDC"/>
    <w:rsid w:val="00B217FF"/>
    <w:rsid w:val="00B218EB"/>
    <w:rsid w:val="00B21EE7"/>
    <w:rsid w:val="00B317FF"/>
    <w:rsid w:val="00B326BE"/>
    <w:rsid w:val="00B35CA1"/>
    <w:rsid w:val="00B378D8"/>
    <w:rsid w:val="00B40B6D"/>
    <w:rsid w:val="00B4486C"/>
    <w:rsid w:val="00B454B4"/>
    <w:rsid w:val="00B47A8D"/>
    <w:rsid w:val="00B51EF4"/>
    <w:rsid w:val="00B57C58"/>
    <w:rsid w:val="00B65B97"/>
    <w:rsid w:val="00B7064F"/>
    <w:rsid w:val="00B7104D"/>
    <w:rsid w:val="00B725A8"/>
    <w:rsid w:val="00B72C9A"/>
    <w:rsid w:val="00B74B91"/>
    <w:rsid w:val="00B76556"/>
    <w:rsid w:val="00B85F0F"/>
    <w:rsid w:val="00B90DB7"/>
    <w:rsid w:val="00B95E9F"/>
    <w:rsid w:val="00BA67F8"/>
    <w:rsid w:val="00BA6D57"/>
    <w:rsid w:val="00BB0371"/>
    <w:rsid w:val="00BB0C08"/>
    <w:rsid w:val="00BB1167"/>
    <w:rsid w:val="00BB166E"/>
    <w:rsid w:val="00BB44A9"/>
    <w:rsid w:val="00BB4572"/>
    <w:rsid w:val="00BB5C07"/>
    <w:rsid w:val="00BC4644"/>
    <w:rsid w:val="00BC63EF"/>
    <w:rsid w:val="00BD017E"/>
    <w:rsid w:val="00BD0C18"/>
    <w:rsid w:val="00BD476A"/>
    <w:rsid w:val="00BD7E73"/>
    <w:rsid w:val="00BE422B"/>
    <w:rsid w:val="00BE6E87"/>
    <w:rsid w:val="00BF24E3"/>
    <w:rsid w:val="00BF6966"/>
    <w:rsid w:val="00C00143"/>
    <w:rsid w:val="00C037C9"/>
    <w:rsid w:val="00C05EA9"/>
    <w:rsid w:val="00C06EF6"/>
    <w:rsid w:val="00C0757F"/>
    <w:rsid w:val="00C07BB0"/>
    <w:rsid w:val="00C12487"/>
    <w:rsid w:val="00C1379E"/>
    <w:rsid w:val="00C16637"/>
    <w:rsid w:val="00C20FAC"/>
    <w:rsid w:val="00C25A0F"/>
    <w:rsid w:val="00C25F15"/>
    <w:rsid w:val="00C27951"/>
    <w:rsid w:val="00C33E3B"/>
    <w:rsid w:val="00C35F58"/>
    <w:rsid w:val="00C36EE6"/>
    <w:rsid w:val="00C37D04"/>
    <w:rsid w:val="00C41867"/>
    <w:rsid w:val="00C438EC"/>
    <w:rsid w:val="00C46DDE"/>
    <w:rsid w:val="00C50569"/>
    <w:rsid w:val="00C51F62"/>
    <w:rsid w:val="00C520B0"/>
    <w:rsid w:val="00C5353A"/>
    <w:rsid w:val="00C70AF3"/>
    <w:rsid w:val="00C7251D"/>
    <w:rsid w:val="00C7367C"/>
    <w:rsid w:val="00C76D55"/>
    <w:rsid w:val="00C811A7"/>
    <w:rsid w:val="00C8671C"/>
    <w:rsid w:val="00C86E23"/>
    <w:rsid w:val="00C8756F"/>
    <w:rsid w:val="00C9314D"/>
    <w:rsid w:val="00C9475B"/>
    <w:rsid w:val="00C95666"/>
    <w:rsid w:val="00C9691E"/>
    <w:rsid w:val="00CA2946"/>
    <w:rsid w:val="00CB43BD"/>
    <w:rsid w:val="00CC26F1"/>
    <w:rsid w:val="00CC4266"/>
    <w:rsid w:val="00CC4EC8"/>
    <w:rsid w:val="00CC4F88"/>
    <w:rsid w:val="00CC601C"/>
    <w:rsid w:val="00CD03A9"/>
    <w:rsid w:val="00CD0C7F"/>
    <w:rsid w:val="00CD36A0"/>
    <w:rsid w:val="00CD3CC7"/>
    <w:rsid w:val="00CD3D37"/>
    <w:rsid w:val="00CD59A8"/>
    <w:rsid w:val="00CD70BB"/>
    <w:rsid w:val="00CD7D47"/>
    <w:rsid w:val="00CE1C9A"/>
    <w:rsid w:val="00CE5F0C"/>
    <w:rsid w:val="00CE772B"/>
    <w:rsid w:val="00CF080A"/>
    <w:rsid w:val="00CF51DA"/>
    <w:rsid w:val="00CF6C86"/>
    <w:rsid w:val="00D00E8E"/>
    <w:rsid w:val="00D05AB2"/>
    <w:rsid w:val="00D06480"/>
    <w:rsid w:val="00D069FF"/>
    <w:rsid w:val="00D11F8A"/>
    <w:rsid w:val="00D120BA"/>
    <w:rsid w:val="00D17105"/>
    <w:rsid w:val="00D17C07"/>
    <w:rsid w:val="00D2095A"/>
    <w:rsid w:val="00D249DB"/>
    <w:rsid w:val="00D24AB3"/>
    <w:rsid w:val="00D252C7"/>
    <w:rsid w:val="00D275D2"/>
    <w:rsid w:val="00D30908"/>
    <w:rsid w:val="00D34354"/>
    <w:rsid w:val="00D35517"/>
    <w:rsid w:val="00D35EE8"/>
    <w:rsid w:val="00D3667D"/>
    <w:rsid w:val="00D42406"/>
    <w:rsid w:val="00D446AD"/>
    <w:rsid w:val="00D45C9F"/>
    <w:rsid w:val="00D4708D"/>
    <w:rsid w:val="00D50038"/>
    <w:rsid w:val="00D55D26"/>
    <w:rsid w:val="00D57036"/>
    <w:rsid w:val="00D57A75"/>
    <w:rsid w:val="00D606A0"/>
    <w:rsid w:val="00D609E9"/>
    <w:rsid w:val="00D6312E"/>
    <w:rsid w:val="00D6353C"/>
    <w:rsid w:val="00D650CC"/>
    <w:rsid w:val="00D650EA"/>
    <w:rsid w:val="00D6530C"/>
    <w:rsid w:val="00D673A6"/>
    <w:rsid w:val="00D679EE"/>
    <w:rsid w:val="00D7053E"/>
    <w:rsid w:val="00D72590"/>
    <w:rsid w:val="00D73542"/>
    <w:rsid w:val="00D75D4D"/>
    <w:rsid w:val="00D761E1"/>
    <w:rsid w:val="00D77110"/>
    <w:rsid w:val="00D77C0A"/>
    <w:rsid w:val="00D85CD3"/>
    <w:rsid w:val="00D91833"/>
    <w:rsid w:val="00D92C61"/>
    <w:rsid w:val="00D95D86"/>
    <w:rsid w:val="00D95F18"/>
    <w:rsid w:val="00DA0647"/>
    <w:rsid w:val="00DA0671"/>
    <w:rsid w:val="00DA0A91"/>
    <w:rsid w:val="00DA18B5"/>
    <w:rsid w:val="00DA197F"/>
    <w:rsid w:val="00DA23B4"/>
    <w:rsid w:val="00DA34BA"/>
    <w:rsid w:val="00DA3B45"/>
    <w:rsid w:val="00DA7F9C"/>
    <w:rsid w:val="00DB2859"/>
    <w:rsid w:val="00DB2BEA"/>
    <w:rsid w:val="00DB51BA"/>
    <w:rsid w:val="00DB6214"/>
    <w:rsid w:val="00DC10B7"/>
    <w:rsid w:val="00DC1683"/>
    <w:rsid w:val="00DC4F04"/>
    <w:rsid w:val="00DE0B1E"/>
    <w:rsid w:val="00DE1F55"/>
    <w:rsid w:val="00DE5019"/>
    <w:rsid w:val="00DE518C"/>
    <w:rsid w:val="00DE58EF"/>
    <w:rsid w:val="00DE6281"/>
    <w:rsid w:val="00DE6639"/>
    <w:rsid w:val="00DE78F7"/>
    <w:rsid w:val="00DE7E98"/>
    <w:rsid w:val="00DF05EB"/>
    <w:rsid w:val="00DF1397"/>
    <w:rsid w:val="00DF2C50"/>
    <w:rsid w:val="00E002A6"/>
    <w:rsid w:val="00E023DB"/>
    <w:rsid w:val="00E036EB"/>
    <w:rsid w:val="00E0495D"/>
    <w:rsid w:val="00E20095"/>
    <w:rsid w:val="00E2025C"/>
    <w:rsid w:val="00E207D5"/>
    <w:rsid w:val="00E23240"/>
    <w:rsid w:val="00E2443F"/>
    <w:rsid w:val="00E24E11"/>
    <w:rsid w:val="00E261CC"/>
    <w:rsid w:val="00E300E5"/>
    <w:rsid w:val="00E31A32"/>
    <w:rsid w:val="00E329C4"/>
    <w:rsid w:val="00E3701A"/>
    <w:rsid w:val="00E41A78"/>
    <w:rsid w:val="00E42BE6"/>
    <w:rsid w:val="00E44AC1"/>
    <w:rsid w:val="00E53536"/>
    <w:rsid w:val="00E53679"/>
    <w:rsid w:val="00E5387B"/>
    <w:rsid w:val="00E5420C"/>
    <w:rsid w:val="00E54559"/>
    <w:rsid w:val="00E56089"/>
    <w:rsid w:val="00E56ECC"/>
    <w:rsid w:val="00E616B6"/>
    <w:rsid w:val="00E6351D"/>
    <w:rsid w:val="00E64C88"/>
    <w:rsid w:val="00E67C8F"/>
    <w:rsid w:val="00E67E5A"/>
    <w:rsid w:val="00E771D9"/>
    <w:rsid w:val="00E804B0"/>
    <w:rsid w:val="00E80E3E"/>
    <w:rsid w:val="00E810A1"/>
    <w:rsid w:val="00E819D8"/>
    <w:rsid w:val="00E85262"/>
    <w:rsid w:val="00E85C51"/>
    <w:rsid w:val="00E85E61"/>
    <w:rsid w:val="00E86332"/>
    <w:rsid w:val="00E90008"/>
    <w:rsid w:val="00E96430"/>
    <w:rsid w:val="00EA12B4"/>
    <w:rsid w:val="00EA18E2"/>
    <w:rsid w:val="00EA3165"/>
    <w:rsid w:val="00EA3C32"/>
    <w:rsid w:val="00EB1297"/>
    <w:rsid w:val="00EB51EB"/>
    <w:rsid w:val="00EC0AD2"/>
    <w:rsid w:val="00EC0B99"/>
    <w:rsid w:val="00EC5F1D"/>
    <w:rsid w:val="00EC7273"/>
    <w:rsid w:val="00ED0469"/>
    <w:rsid w:val="00ED1EF0"/>
    <w:rsid w:val="00EE15D4"/>
    <w:rsid w:val="00EE248A"/>
    <w:rsid w:val="00EE2B9F"/>
    <w:rsid w:val="00EE4F53"/>
    <w:rsid w:val="00EE60B2"/>
    <w:rsid w:val="00EF0633"/>
    <w:rsid w:val="00EF0BC7"/>
    <w:rsid w:val="00EF11D2"/>
    <w:rsid w:val="00EF2664"/>
    <w:rsid w:val="00EF4420"/>
    <w:rsid w:val="00EF6FD5"/>
    <w:rsid w:val="00EF7E4F"/>
    <w:rsid w:val="00F00964"/>
    <w:rsid w:val="00F01749"/>
    <w:rsid w:val="00F020F3"/>
    <w:rsid w:val="00F06660"/>
    <w:rsid w:val="00F07148"/>
    <w:rsid w:val="00F0744E"/>
    <w:rsid w:val="00F076B7"/>
    <w:rsid w:val="00F12040"/>
    <w:rsid w:val="00F20F2A"/>
    <w:rsid w:val="00F23CDA"/>
    <w:rsid w:val="00F3195E"/>
    <w:rsid w:val="00F33770"/>
    <w:rsid w:val="00F349D6"/>
    <w:rsid w:val="00F35E70"/>
    <w:rsid w:val="00F36416"/>
    <w:rsid w:val="00F371C7"/>
    <w:rsid w:val="00F3726D"/>
    <w:rsid w:val="00F402DE"/>
    <w:rsid w:val="00F40A23"/>
    <w:rsid w:val="00F41AD0"/>
    <w:rsid w:val="00F42768"/>
    <w:rsid w:val="00F429FF"/>
    <w:rsid w:val="00F43723"/>
    <w:rsid w:val="00F45311"/>
    <w:rsid w:val="00F453D1"/>
    <w:rsid w:val="00F50186"/>
    <w:rsid w:val="00F51CFE"/>
    <w:rsid w:val="00F56EE6"/>
    <w:rsid w:val="00F576AB"/>
    <w:rsid w:val="00F60474"/>
    <w:rsid w:val="00F6232B"/>
    <w:rsid w:val="00F625E6"/>
    <w:rsid w:val="00F723A2"/>
    <w:rsid w:val="00F72855"/>
    <w:rsid w:val="00F743AF"/>
    <w:rsid w:val="00F74A5B"/>
    <w:rsid w:val="00F85232"/>
    <w:rsid w:val="00F85B72"/>
    <w:rsid w:val="00F85BA8"/>
    <w:rsid w:val="00F902C0"/>
    <w:rsid w:val="00F9040D"/>
    <w:rsid w:val="00F940BE"/>
    <w:rsid w:val="00F94148"/>
    <w:rsid w:val="00F9633F"/>
    <w:rsid w:val="00F965E0"/>
    <w:rsid w:val="00FA2B67"/>
    <w:rsid w:val="00FA4313"/>
    <w:rsid w:val="00FA4596"/>
    <w:rsid w:val="00FA45CC"/>
    <w:rsid w:val="00FA5C76"/>
    <w:rsid w:val="00FA64AF"/>
    <w:rsid w:val="00FA70A2"/>
    <w:rsid w:val="00FA7997"/>
    <w:rsid w:val="00FB19EE"/>
    <w:rsid w:val="00FB72C0"/>
    <w:rsid w:val="00FC24E8"/>
    <w:rsid w:val="00FC2CAC"/>
    <w:rsid w:val="00FC4D3A"/>
    <w:rsid w:val="00FC5438"/>
    <w:rsid w:val="00FC59CE"/>
    <w:rsid w:val="00FC635B"/>
    <w:rsid w:val="00FC63AF"/>
    <w:rsid w:val="00FC77AE"/>
    <w:rsid w:val="00FD06FA"/>
    <w:rsid w:val="00FD1152"/>
    <w:rsid w:val="00FD46EB"/>
    <w:rsid w:val="00FD5F3B"/>
    <w:rsid w:val="00FD60FF"/>
    <w:rsid w:val="00FE15D2"/>
    <w:rsid w:val="00FE20FD"/>
    <w:rsid w:val="00FE2A7B"/>
    <w:rsid w:val="00FE5843"/>
    <w:rsid w:val="00FF12EB"/>
    <w:rsid w:val="00FF3C6D"/>
    <w:rsid w:val="00FF6B09"/>
    <w:rsid w:val="01CF712B"/>
    <w:rsid w:val="021B4775"/>
    <w:rsid w:val="025A34EF"/>
    <w:rsid w:val="02941414"/>
    <w:rsid w:val="02F23728"/>
    <w:rsid w:val="031C0676"/>
    <w:rsid w:val="04714B20"/>
    <w:rsid w:val="04D42017"/>
    <w:rsid w:val="05483AD3"/>
    <w:rsid w:val="05544226"/>
    <w:rsid w:val="06113DBA"/>
    <w:rsid w:val="0686237C"/>
    <w:rsid w:val="06E635A4"/>
    <w:rsid w:val="07075B94"/>
    <w:rsid w:val="071579E5"/>
    <w:rsid w:val="07966D78"/>
    <w:rsid w:val="07B92A66"/>
    <w:rsid w:val="07CC279A"/>
    <w:rsid w:val="07E83C0B"/>
    <w:rsid w:val="08057A5A"/>
    <w:rsid w:val="08804F94"/>
    <w:rsid w:val="090E293E"/>
    <w:rsid w:val="09500287"/>
    <w:rsid w:val="09711C11"/>
    <w:rsid w:val="098274FD"/>
    <w:rsid w:val="09BA4874"/>
    <w:rsid w:val="09C3197A"/>
    <w:rsid w:val="0A2979F9"/>
    <w:rsid w:val="0AA96DC2"/>
    <w:rsid w:val="0B3D750A"/>
    <w:rsid w:val="0B792C38"/>
    <w:rsid w:val="0BD75BB1"/>
    <w:rsid w:val="0CE57E5A"/>
    <w:rsid w:val="0D3F23D9"/>
    <w:rsid w:val="0E455054"/>
    <w:rsid w:val="0E9953A0"/>
    <w:rsid w:val="0F476230"/>
    <w:rsid w:val="0F4E1CE6"/>
    <w:rsid w:val="0F5372FC"/>
    <w:rsid w:val="0F731F68"/>
    <w:rsid w:val="0FC71A98"/>
    <w:rsid w:val="0FD146C5"/>
    <w:rsid w:val="1011535E"/>
    <w:rsid w:val="102F65B3"/>
    <w:rsid w:val="10545A22"/>
    <w:rsid w:val="10594DE6"/>
    <w:rsid w:val="10A157DE"/>
    <w:rsid w:val="10C009C2"/>
    <w:rsid w:val="118E6D12"/>
    <w:rsid w:val="11CE710E"/>
    <w:rsid w:val="12A33946"/>
    <w:rsid w:val="130848A2"/>
    <w:rsid w:val="13373808"/>
    <w:rsid w:val="136F21E6"/>
    <w:rsid w:val="13C46A1B"/>
    <w:rsid w:val="13CB5FFB"/>
    <w:rsid w:val="141C0605"/>
    <w:rsid w:val="148443FC"/>
    <w:rsid w:val="14B153A7"/>
    <w:rsid w:val="14B60A59"/>
    <w:rsid w:val="15DF7B3C"/>
    <w:rsid w:val="15F5110D"/>
    <w:rsid w:val="15FF01DE"/>
    <w:rsid w:val="160C6457"/>
    <w:rsid w:val="163C4F8E"/>
    <w:rsid w:val="16E86EC4"/>
    <w:rsid w:val="17510416"/>
    <w:rsid w:val="183103F7"/>
    <w:rsid w:val="190A3122"/>
    <w:rsid w:val="191915B7"/>
    <w:rsid w:val="19397AAF"/>
    <w:rsid w:val="193C764B"/>
    <w:rsid w:val="197131A1"/>
    <w:rsid w:val="19810F0A"/>
    <w:rsid w:val="1A07339C"/>
    <w:rsid w:val="1A0A0AF5"/>
    <w:rsid w:val="1A90237D"/>
    <w:rsid w:val="1A903AFB"/>
    <w:rsid w:val="1AA03612"/>
    <w:rsid w:val="1ACE017F"/>
    <w:rsid w:val="1AF91B73"/>
    <w:rsid w:val="1B5A1A13"/>
    <w:rsid w:val="1B79633D"/>
    <w:rsid w:val="1B7F7470"/>
    <w:rsid w:val="1BE21353"/>
    <w:rsid w:val="1C811076"/>
    <w:rsid w:val="1CA069B8"/>
    <w:rsid w:val="1CC82F9C"/>
    <w:rsid w:val="1D2803C4"/>
    <w:rsid w:val="1DFA659E"/>
    <w:rsid w:val="1E0C16EA"/>
    <w:rsid w:val="1E2A7DC2"/>
    <w:rsid w:val="1EA57449"/>
    <w:rsid w:val="1EAF02C7"/>
    <w:rsid w:val="1F0C1276"/>
    <w:rsid w:val="1F6D61B8"/>
    <w:rsid w:val="1F745799"/>
    <w:rsid w:val="20204FA0"/>
    <w:rsid w:val="20A74707"/>
    <w:rsid w:val="210C37AF"/>
    <w:rsid w:val="21751B5D"/>
    <w:rsid w:val="23533917"/>
    <w:rsid w:val="23931F66"/>
    <w:rsid w:val="23952182"/>
    <w:rsid w:val="23C465C3"/>
    <w:rsid w:val="23E45646"/>
    <w:rsid w:val="24072BAB"/>
    <w:rsid w:val="24085935"/>
    <w:rsid w:val="246B6A3F"/>
    <w:rsid w:val="247F4950"/>
    <w:rsid w:val="2563432E"/>
    <w:rsid w:val="25D6438C"/>
    <w:rsid w:val="26B172D2"/>
    <w:rsid w:val="27266514"/>
    <w:rsid w:val="27271343"/>
    <w:rsid w:val="28463B94"/>
    <w:rsid w:val="28691660"/>
    <w:rsid w:val="2874680A"/>
    <w:rsid w:val="28943D25"/>
    <w:rsid w:val="29971746"/>
    <w:rsid w:val="29B23ABB"/>
    <w:rsid w:val="29C24DF8"/>
    <w:rsid w:val="29EC6874"/>
    <w:rsid w:val="2A0506B1"/>
    <w:rsid w:val="2A077209"/>
    <w:rsid w:val="2A97058D"/>
    <w:rsid w:val="2B070442"/>
    <w:rsid w:val="2B261911"/>
    <w:rsid w:val="2B9D5F5A"/>
    <w:rsid w:val="2BB313F7"/>
    <w:rsid w:val="2C0757FC"/>
    <w:rsid w:val="2C3D33B6"/>
    <w:rsid w:val="2C6B5339"/>
    <w:rsid w:val="2D633CA0"/>
    <w:rsid w:val="2D686211"/>
    <w:rsid w:val="2DDF4725"/>
    <w:rsid w:val="2DF31F7F"/>
    <w:rsid w:val="2E3D58F0"/>
    <w:rsid w:val="2E607BFE"/>
    <w:rsid w:val="2E9372BE"/>
    <w:rsid w:val="2EB15BE0"/>
    <w:rsid w:val="2F124686"/>
    <w:rsid w:val="2F4375B5"/>
    <w:rsid w:val="2FF0539D"/>
    <w:rsid w:val="309A162C"/>
    <w:rsid w:val="30C265D6"/>
    <w:rsid w:val="31772EC7"/>
    <w:rsid w:val="31D9148B"/>
    <w:rsid w:val="31F63D43"/>
    <w:rsid w:val="32067A78"/>
    <w:rsid w:val="32082DE3"/>
    <w:rsid w:val="32AE0B6A"/>
    <w:rsid w:val="33802DD5"/>
    <w:rsid w:val="33C22168"/>
    <w:rsid w:val="33E8058A"/>
    <w:rsid w:val="34DE13C8"/>
    <w:rsid w:val="35123632"/>
    <w:rsid w:val="35571045"/>
    <w:rsid w:val="35AD2445"/>
    <w:rsid w:val="35B35B18"/>
    <w:rsid w:val="36526E0E"/>
    <w:rsid w:val="36835E6A"/>
    <w:rsid w:val="369569B9"/>
    <w:rsid w:val="36A54032"/>
    <w:rsid w:val="36C56180"/>
    <w:rsid w:val="36FA25D0"/>
    <w:rsid w:val="37337890"/>
    <w:rsid w:val="379506F0"/>
    <w:rsid w:val="379F4387"/>
    <w:rsid w:val="37D746BF"/>
    <w:rsid w:val="37EB761E"/>
    <w:rsid w:val="388E25C0"/>
    <w:rsid w:val="39185283"/>
    <w:rsid w:val="393F6939"/>
    <w:rsid w:val="39DB4D3F"/>
    <w:rsid w:val="3A1A6AE5"/>
    <w:rsid w:val="3A591371"/>
    <w:rsid w:val="3ACE7FFB"/>
    <w:rsid w:val="3BB7640E"/>
    <w:rsid w:val="3BBC42F8"/>
    <w:rsid w:val="3C241E9D"/>
    <w:rsid w:val="3C2D4A0A"/>
    <w:rsid w:val="3D474095"/>
    <w:rsid w:val="3D9B1CEB"/>
    <w:rsid w:val="3DA1604E"/>
    <w:rsid w:val="3DEA67CE"/>
    <w:rsid w:val="3E2E7003"/>
    <w:rsid w:val="3FA70E1B"/>
    <w:rsid w:val="40686485"/>
    <w:rsid w:val="40736F4F"/>
    <w:rsid w:val="40907B01"/>
    <w:rsid w:val="40AE302D"/>
    <w:rsid w:val="40D23C76"/>
    <w:rsid w:val="412546ED"/>
    <w:rsid w:val="41790595"/>
    <w:rsid w:val="41F320F5"/>
    <w:rsid w:val="42BC698B"/>
    <w:rsid w:val="42D33CD5"/>
    <w:rsid w:val="43294D0F"/>
    <w:rsid w:val="4359242C"/>
    <w:rsid w:val="43615785"/>
    <w:rsid w:val="4381094E"/>
    <w:rsid w:val="4391317D"/>
    <w:rsid w:val="43B72C56"/>
    <w:rsid w:val="43DA388F"/>
    <w:rsid w:val="44544A76"/>
    <w:rsid w:val="44E61E7A"/>
    <w:rsid w:val="44FE772F"/>
    <w:rsid w:val="45132AAF"/>
    <w:rsid w:val="455B692F"/>
    <w:rsid w:val="47306D82"/>
    <w:rsid w:val="473505C5"/>
    <w:rsid w:val="47870957"/>
    <w:rsid w:val="482E1FB6"/>
    <w:rsid w:val="48E64762"/>
    <w:rsid w:val="4A6C6EE9"/>
    <w:rsid w:val="4AA30431"/>
    <w:rsid w:val="4AE90E79"/>
    <w:rsid w:val="4AF41157"/>
    <w:rsid w:val="4B8806DC"/>
    <w:rsid w:val="4BC10EAB"/>
    <w:rsid w:val="4C2D12B5"/>
    <w:rsid w:val="4C4E7869"/>
    <w:rsid w:val="4C6A0261"/>
    <w:rsid w:val="4CAF130F"/>
    <w:rsid w:val="4CE27936"/>
    <w:rsid w:val="4DD7415C"/>
    <w:rsid w:val="4E165AE9"/>
    <w:rsid w:val="4E492CF4"/>
    <w:rsid w:val="4E8E2F0D"/>
    <w:rsid w:val="4EA07161"/>
    <w:rsid w:val="4F0516BA"/>
    <w:rsid w:val="4F3A5808"/>
    <w:rsid w:val="4F754A92"/>
    <w:rsid w:val="500F6BA6"/>
    <w:rsid w:val="51553A35"/>
    <w:rsid w:val="51AC22C1"/>
    <w:rsid w:val="51E17303"/>
    <w:rsid w:val="52043EAB"/>
    <w:rsid w:val="52F757BE"/>
    <w:rsid w:val="53034162"/>
    <w:rsid w:val="53407165"/>
    <w:rsid w:val="53605111"/>
    <w:rsid w:val="538047FB"/>
    <w:rsid w:val="53B042EA"/>
    <w:rsid w:val="53BB67EB"/>
    <w:rsid w:val="53CF56EC"/>
    <w:rsid w:val="545527D8"/>
    <w:rsid w:val="54A46010"/>
    <w:rsid w:val="55291A50"/>
    <w:rsid w:val="556E1BAD"/>
    <w:rsid w:val="568602D2"/>
    <w:rsid w:val="568850AA"/>
    <w:rsid w:val="56A424B3"/>
    <w:rsid w:val="56DF49B3"/>
    <w:rsid w:val="57004D88"/>
    <w:rsid w:val="57340D8E"/>
    <w:rsid w:val="57773DB3"/>
    <w:rsid w:val="58064E81"/>
    <w:rsid w:val="582622EE"/>
    <w:rsid w:val="58977827"/>
    <w:rsid w:val="58E01FBF"/>
    <w:rsid w:val="58E464BF"/>
    <w:rsid w:val="58ED3B83"/>
    <w:rsid w:val="59FF38D6"/>
    <w:rsid w:val="5A0B2B1D"/>
    <w:rsid w:val="5A3B2434"/>
    <w:rsid w:val="5B6B4403"/>
    <w:rsid w:val="5BF44F90"/>
    <w:rsid w:val="5C0F5926"/>
    <w:rsid w:val="5C8956D8"/>
    <w:rsid w:val="5C8D7611"/>
    <w:rsid w:val="5C9304A4"/>
    <w:rsid w:val="5CF1327E"/>
    <w:rsid w:val="5D491B8F"/>
    <w:rsid w:val="5D720862"/>
    <w:rsid w:val="5DC7705E"/>
    <w:rsid w:val="5DD62B9F"/>
    <w:rsid w:val="5E3C457C"/>
    <w:rsid w:val="5E83286D"/>
    <w:rsid w:val="5ECF6132"/>
    <w:rsid w:val="5F100333"/>
    <w:rsid w:val="5F5875E4"/>
    <w:rsid w:val="5F5A335C"/>
    <w:rsid w:val="6017124D"/>
    <w:rsid w:val="605C4EB2"/>
    <w:rsid w:val="60C24BC2"/>
    <w:rsid w:val="61012423"/>
    <w:rsid w:val="612400C6"/>
    <w:rsid w:val="61357BDD"/>
    <w:rsid w:val="613957A4"/>
    <w:rsid w:val="613A51F3"/>
    <w:rsid w:val="617A1A94"/>
    <w:rsid w:val="61B53F3C"/>
    <w:rsid w:val="62314BC5"/>
    <w:rsid w:val="624344AC"/>
    <w:rsid w:val="6247758E"/>
    <w:rsid w:val="627D5DE1"/>
    <w:rsid w:val="631B2246"/>
    <w:rsid w:val="63276FAC"/>
    <w:rsid w:val="633B34A5"/>
    <w:rsid w:val="63750A53"/>
    <w:rsid w:val="638E7A78"/>
    <w:rsid w:val="63EE2BDE"/>
    <w:rsid w:val="64370110"/>
    <w:rsid w:val="64683A7A"/>
    <w:rsid w:val="648624E9"/>
    <w:rsid w:val="64A4037C"/>
    <w:rsid w:val="650179CC"/>
    <w:rsid w:val="65161309"/>
    <w:rsid w:val="652266CA"/>
    <w:rsid w:val="65717652"/>
    <w:rsid w:val="65C6799D"/>
    <w:rsid w:val="65C90CCB"/>
    <w:rsid w:val="65F42E4F"/>
    <w:rsid w:val="661A3845"/>
    <w:rsid w:val="66707909"/>
    <w:rsid w:val="66E856F1"/>
    <w:rsid w:val="66ED765A"/>
    <w:rsid w:val="67523C88"/>
    <w:rsid w:val="67A65F2A"/>
    <w:rsid w:val="67AE25D3"/>
    <w:rsid w:val="683757A6"/>
    <w:rsid w:val="68572B2F"/>
    <w:rsid w:val="6860371C"/>
    <w:rsid w:val="68B06EC3"/>
    <w:rsid w:val="68E12085"/>
    <w:rsid w:val="68E86BFA"/>
    <w:rsid w:val="68EE7515"/>
    <w:rsid w:val="69012A9A"/>
    <w:rsid w:val="699658D9"/>
    <w:rsid w:val="69BD2E65"/>
    <w:rsid w:val="6AE54988"/>
    <w:rsid w:val="6C292A34"/>
    <w:rsid w:val="6C9C3206"/>
    <w:rsid w:val="6CC91389"/>
    <w:rsid w:val="6D01750D"/>
    <w:rsid w:val="6D645861"/>
    <w:rsid w:val="6DA62B90"/>
    <w:rsid w:val="6DF67DA9"/>
    <w:rsid w:val="6E31797E"/>
    <w:rsid w:val="6EE92007"/>
    <w:rsid w:val="6F1277AF"/>
    <w:rsid w:val="6F131AC6"/>
    <w:rsid w:val="6F3F382B"/>
    <w:rsid w:val="6F824715"/>
    <w:rsid w:val="6FC249ED"/>
    <w:rsid w:val="70AA652B"/>
    <w:rsid w:val="70C745CA"/>
    <w:rsid w:val="70DD3DED"/>
    <w:rsid w:val="711041C2"/>
    <w:rsid w:val="71C034F3"/>
    <w:rsid w:val="71C770BB"/>
    <w:rsid w:val="721C50E5"/>
    <w:rsid w:val="725B1FB2"/>
    <w:rsid w:val="728E539F"/>
    <w:rsid w:val="72AB41A3"/>
    <w:rsid w:val="72BC2631"/>
    <w:rsid w:val="72E07DA7"/>
    <w:rsid w:val="73045661"/>
    <w:rsid w:val="745005DB"/>
    <w:rsid w:val="74D97C69"/>
    <w:rsid w:val="751A0EF3"/>
    <w:rsid w:val="76424AFF"/>
    <w:rsid w:val="766C14B7"/>
    <w:rsid w:val="767458A8"/>
    <w:rsid w:val="76767CB6"/>
    <w:rsid w:val="767F59B2"/>
    <w:rsid w:val="76EE0B02"/>
    <w:rsid w:val="76FE7909"/>
    <w:rsid w:val="774B5A55"/>
    <w:rsid w:val="775D3592"/>
    <w:rsid w:val="780503BD"/>
    <w:rsid w:val="78F148D9"/>
    <w:rsid w:val="78F41CD4"/>
    <w:rsid w:val="7983681E"/>
    <w:rsid w:val="79FD6925"/>
    <w:rsid w:val="7A2D1941"/>
    <w:rsid w:val="7B0A100A"/>
    <w:rsid w:val="7B132CDA"/>
    <w:rsid w:val="7B734932"/>
    <w:rsid w:val="7BAD61AB"/>
    <w:rsid w:val="7C266648"/>
    <w:rsid w:val="7C30396B"/>
    <w:rsid w:val="7C7D4F83"/>
    <w:rsid w:val="7C8B6DF3"/>
    <w:rsid w:val="7CC712FF"/>
    <w:rsid w:val="7CF5083E"/>
    <w:rsid w:val="7D67516A"/>
    <w:rsid w:val="7DDA5669"/>
    <w:rsid w:val="7E290672"/>
    <w:rsid w:val="7F272E03"/>
    <w:rsid w:val="7FCA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lang w:val="en-US" w:eastAsia="zh-CN" w:bidi="ar-SA"/>
    </w:rPr>
  </w:style>
  <w:style w:type="paragraph" w:styleId="2">
    <w:name w:val="heading 1"/>
    <w:basedOn w:val="1"/>
    <w:next w:val="1"/>
    <w:qFormat/>
    <w:uiPriority w:val="9"/>
    <w:pPr>
      <w:keepNext/>
      <w:keepLines/>
      <w:spacing w:before="480" w:after="80"/>
      <w:outlineLvl w:val="0"/>
    </w:pPr>
    <w:rPr>
      <w:rFonts w:ascii="仿宋" w:hAnsi="仿宋" w:eastAsia="楷体" w:cs="仿宋"/>
      <w:color w:val="2E75B6" w:themeColor="accent1" w:themeShade="BF"/>
      <w:sz w:val="44"/>
      <w:szCs w:val="48"/>
    </w:rPr>
  </w:style>
  <w:style w:type="paragraph" w:styleId="3">
    <w:name w:val="heading 2"/>
    <w:basedOn w:val="1"/>
    <w:next w:val="1"/>
    <w:unhideWhenUsed/>
    <w:qFormat/>
    <w:uiPriority w:val="9"/>
    <w:pPr>
      <w:keepNext/>
      <w:keepLines/>
      <w:spacing w:before="160" w:after="80"/>
      <w:outlineLvl w:val="1"/>
    </w:pPr>
    <w:rPr>
      <w:rFonts w:eastAsia="楷体" w:asciiTheme="majorHAnsi" w:hAnsiTheme="majorHAnsi" w:cstheme="majorBidi"/>
      <w:b/>
      <w:color w:val="2E75B6" w:themeColor="accent1" w:themeShade="BF"/>
      <w:sz w:val="32"/>
      <w:szCs w:val="40"/>
    </w:rPr>
  </w:style>
  <w:style w:type="paragraph" w:styleId="4">
    <w:name w:val="heading 3"/>
    <w:basedOn w:val="1"/>
    <w:next w:val="1"/>
    <w:unhideWhenUsed/>
    <w:qFormat/>
    <w:uiPriority w:val="9"/>
    <w:pPr>
      <w:ind w:firstLine="640" w:firstLineChars="200"/>
      <w:outlineLvl w:val="2"/>
    </w:pPr>
    <w:rPr>
      <w:rFonts w:ascii="Cambria Math" w:hAnsi="Cambria Math" w:eastAsia="仿宋" w:cs="Cambria Math"/>
      <w:b/>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unhideWhenUsed/>
    <w:qFormat/>
    <w:uiPriority w:val="39"/>
    <w:pPr>
      <w:ind w:left="420" w:leftChars="200"/>
    </w:p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TOC Heading"/>
    <w:basedOn w:val="2"/>
    <w:next w:val="1"/>
    <w:unhideWhenUsed/>
    <w:qFormat/>
    <w:uiPriority w:val="39"/>
    <w:pPr>
      <w:spacing w:before="240" w:after="0" w:line="259" w:lineRule="auto"/>
      <w:outlineLvl w:val="9"/>
    </w:pPr>
    <w:rPr>
      <w:rFonts w:asciiTheme="majorHAnsi" w:hAnsiTheme="majorHAnsi" w:eastAsiaTheme="majorEastAsia" w:cstheme="majorBidi"/>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6493</Words>
  <Characters>6611</Characters>
  <Lines>362</Lines>
  <Paragraphs>321</Paragraphs>
  <TotalTime>14</TotalTime>
  <ScaleCrop>false</ScaleCrop>
  <LinksUpToDate>false</LinksUpToDate>
  <CharactersWithSpaces>6722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2025-04-27T08:21:00Z</dcterms:created>
  <dc:creator>于长江</dc:creator>
  <cp:keywords>暨县属国企参股市场化运营项目实施方案</cp:keywords>
  <cp:lastModifiedBy>长江长16699607846</cp:lastModifiedBy>
  <cp:lastPrinted>2025-07-29T05:05:00Z</cp:lastPrinted>
  <dcterms:modified xsi:type="dcterms:W3CDTF">2026-04-09T04:21:30Z</dcterms:modified>
  <dc:title>墨玉县城乡供排水一体化特许经营</dc:title>
  <cp:revision>1076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eyJoZGlkIjoiYTc2ZGZiNzZiNDVlOGViOWVmM2JhOTY0NGJkNjUyYzgiLCJ1c2VySWQiOiI0MTgzMzI0MTcifQ==</vt:lpwstr>
  </property>
  <property fmtid="{D5CDD505-2E9C-101B-9397-08002B2CF9AE}" pid="3" name="KSOProductBuildVer">
    <vt:lpwstr>2052-12.1.0.25225</vt:lpwstr>
  </property>
  <property fmtid="{D5CDD505-2E9C-101B-9397-08002B2CF9AE}" pid="4" name="ICV">
    <vt:lpwstr>3DF4E16CA25F4DECB12C36D7FC4EDE60_12</vt:lpwstr>
  </property>
</Properties>
</file>