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微软雅黑" w:hAnsi="微软雅黑" w:eastAsia="微软雅黑" w:cs="微软雅黑"/>
          <w:i w:val="0"/>
          <w:caps w:val="0"/>
          <w:color w:val="000000"/>
          <w:spacing w:val="0"/>
          <w:kern w:val="0"/>
          <w:sz w:val="37"/>
          <w:szCs w:val="37"/>
          <w:lang w:val="en-US" w:eastAsia="zh-CN" w:bidi="ar"/>
        </w:rPr>
      </w:pPr>
      <w:r>
        <w:rPr>
          <w:rFonts w:hint="default" w:ascii="微软雅黑" w:hAnsi="微软雅黑" w:eastAsia="微软雅黑" w:cs="微软雅黑"/>
          <w:i w:val="0"/>
          <w:caps w:val="0"/>
          <w:color w:val="000000"/>
          <w:spacing w:val="0"/>
          <w:kern w:val="0"/>
          <w:sz w:val="37"/>
          <w:szCs w:val="37"/>
          <w:lang w:val="en-US" w:eastAsia="zh-CN" w:bidi="ar"/>
        </w:rPr>
        <w:t>202</w:t>
      </w:r>
      <w:r>
        <w:rPr>
          <w:rFonts w:hint="eastAsia" w:ascii="微软雅黑" w:hAnsi="微软雅黑" w:eastAsia="微软雅黑" w:cs="微软雅黑"/>
          <w:i w:val="0"/>
          <w:caps w:val="0"/>
          <w:color w:val="000000"/>
          <w:spacing w:val="0"/>
          <w:kern w:val="0"/>
          <w:sz w:val="37"/>
          <w:szCs w:val="37"/>
          <w:lang w:val="en-US" w:eastAsia="zh-CN" w:bidi="ar"/>
        </w:rPr>
        <w:t>2</w:t>
      </w:r>
      <w:r>
        <w:rPr>
          <w:rFonts w:hint="default" w:ascii="微软雅黑" w:hAnsi="微软雅黑" w:eastAsia="微软雅黑" w:cs="微软雅黑"/>
          <w:i w:val="0"/>
          <w:caps w:val="0"/>
          <w:color w:val="000000"/>
          <w:spacing w:val="0"/>
          <w:kern w:val="0"/>
          <w:sz w:val="37"/>
          <w:szCs w:val="37"/>
          <w:lang w:val="en-US" w:eastAsia="zh-CN" w:bidi="ar"/>
        </w:rPr>
        <w:t>年</w:t>
      </w:r>
      <w:r>
        <w:rPr>
          <w:rFonts w:hint="eastAsia" w:ascii="微软雅黑" w:hAnsi="微软雅黑" w:eastAsia="微软雅黑" w:cs="微软雅黑"/>
          <w:i w:val="0"/>
          <w:caps w:val="0"/>
          <w:color w:val="000000"/>
          <w:spacing w:val="0"/>
          <w:kern w:val="0"/>
          <w:sz w:val="37"/>
          <w:szCs w:val="37"/>
          <w:lang w:val="en-US" w:eastAsia="zh-CN" w:bidi="ar"/>
        </w:rPr>
        <w:t>其乃巴格街道办事处</w:t>
      </w:r>
      <w:r>
        <w:rPr>
          <w:rFonts w:hint="default" w:ascii="微软雅黑" w:hAnsi="微软雅黑" w:eastAsia="微软雅黑" w:cs="微软雅黑"/>
          <w:i w:val="0"/>
          <w:caps w:val="0"/>
          <w:color w:val="000000"/>
          <w:spacing w:val="0"/>
          <w:kern w:val="0"/>
          <w:sz w:val="37"/>
          <w:szCs w:val="37"/>
          <w:lang w:val="en-US" w:eastAsia="zh-CN" w:bidi="ar"/>
        </w:rPr>
        <w:t>信息公开工作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微软雅黑" w:hAnsi="微软雅黑" w:eastAsia="微软雅黑" w:cs="微软雅黑"/>
          <w:i w:val="0"/>
          <w:caps w:val="0"/>
          <w:color w:val="000000"/>
          <w:spacing w:val="0"/>
          <w:kern w:val="0"/>
          <w:sz w:val="37"/>
          <w:szCs w:val="37"/>
          <w:lang w:val="en-US" w:eastAsia="zh-CN" w:bidi="ar"/>
        </w:rPr>
      </w:pPr>
      <w:r>
        <w:rPr>
          <w:rFonts w:hint="default" w:ascii="微软雅黑" w:hAnsi="微软雅黑" w:eastAsia="微软雅黑" w:cs="微软雅黑"/>
          <w:i w:val="0"/>
          <w:caps w:val="0"/>
          <w:color w:val="000000"/>
          <w:spacing w:val="0"/>
          <w:kern w:val="0"/>
          <w:sz w:val="37"/>
          <w:szCs w:val="37"/>
          <w:lang w:val="en-US" w:eastAsia="zh-CN" w:bidi="ar"/>
        </w:rPr>
        <w:t>年度报告</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微软雅黑" w:hAnsi="微软雅黑" w:eastAsia="微软雅黑" w:cs="微软雅黑"/>
          <w:i w:val="0"/>
          <w:caps w:val="0"/>
          <w:color w:val="000000"/>
          <w:spacing w:val="0"/>
          <w:kern w:val="0"/>
          <w:sz w:val="37"/>
          <w:szCs w:val="37"/>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caps w:val="0"/>
          <w:color w:val="000000"/>
          <w:spacing w:val="0"/>
          <w:kern w:val="0"/>
          <w:sz w:val="30"/>
          <w:szCs w:val="30"/>
          <w:lang w:val="en-US" w:eastAsia="zh-CN" w:bidi="ar"/>
        </w:rPr>
      </w:pPr>
      <w:r>
        <w:rPr>
          <w:rFonts w:hint="default" w:ascii="微软雅黑" w:hAnsi="微软雅黑" w:eastAsia="微软雅黑" w:cs="微软雅黑"/>
          <w:i w:val="0"/>
          <w:caps w:val="0"/>
          <w:color w:val="000000"/>
          <w:spacing w:val="0"/>
          <w:kern w:val="0"/>
          <w:sz w:val="24"/>
          <w:szCs w:val="24"/>
          <w:lang w:val="en-US" w:eastAsia="zh-CN" w:bidi="ar"/>
        </w:rPr>
        <w:t>     </w:t>
      </w:r>
      <w:r>
        <w:rPr>
          <w:rFonts w:hint="default" w:ascii="微软雅黑" w:hAnsi="微软雅黑" w:eastAsia="微软雅黑" w:cs="微软雅黑"/>
          <w:i w:val="0"/>
          <w:caps w:val="0"/>
          <w:color w:val="000000"/>
          <w:spacing w:val="0"/>
          <w:kern w:val="0"/>
          <w:sz w:val="30"/>
          <w:szCs w:val="30"/>
          <w:lang w:val="en-US" w:eastAsia="zh-CN" w:bidi="ar"/>
        </w:rPr>
        <w:t xml:space="preserve"> </w:t>
      </w:r>
      <w:r>
        <w:rPr>
          <w:rFonts w:hint="eastAsia" w:ascii="仿宋_GB2312" w:hAnsi="仿宋_GB2312" w:eastAsia="仿宋_GB2312" w:cs="仿宋_GB2312"/>
          <w:i w:val="0"/>
          <w:caps w:val="0"/>
          <w:color w:val="000000"/>
          <w:spacing w:val="0"/>
          <w:kern w:val="0"/>
          <w:sz w:val="30"/>
          <w:szCs w:val="30"/>
          <w:lang w:val="en-US" w:eastAsia="zh-CN" w:bidi="ar"/>
        </w:rPr>
        <w:t> 依据《中华人民共和国政府信息公开条例》(以下简称《政府信息公开条例》)和《关于印发中华人民共和国政府信息公开工作年度报告格式的通知》(国办公开办函〔2021〕30号)要求，编制本报告。报告中所列数据统计期限自2022年1月1日起至12月31日。</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xml:space="preserve">  </w:t>
      </w:r>
      <w:r>
        <w:rPr>
          <w:rFonts w:hint="eastAsia" w:ascii="仿宋_GB2312" w:hAnsi="仿宋_GB2312" w:eastAsia="仿宋_GB2312" w:cs="仿宋_GB2312"/>
          <w:b/>
          <w:bCs/>
          <w:i w:val="0"/>
          <w:caps w:val="0"/>
          <w:color w:val="000000"/>
          <w:spacing w:val="0"/>
          <w:kern w:val="0"/>
          <w:sz w:val="30"/>
          <w:szCs w:val="30"/>
          <w:lang w:val="en-US" w:eastAsia="zh-CN" w:bidi="ar"/>
        </w:rPr>
        <w:t>     </w:t>
      </w:r>
      <w:r>
        <w:rPr>
          <w:rFonts w:hint="eastAsia" w:ascii="黑体" w:hAnsi="黑体" w:eastAsia="黑体" w:cs="黑体"/>
          <w:b/>
          <w:bCs/>
          <w:i w:val="0"/>
          <w:caps w:val="0"/>
          <w:color w:val="000000"/>
          <w:spacing w:val="0"/>
          <w:kern w:val="0"/>
          <w:sz w:val="30"/>
          <w:szCs w:val="30"/>
          <w:lang w:val="en-US" w:eastAsia="zh-CN" w:bidi="ar"/>
        </w:rPr>
        <w:t>一、总体情况</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2022年，其乃巴格街道办事处坚持以习近平新时代中国特色社会主义思想为指导，深入学习贯彻党的二十大精神，贯彻习近平总书记视察新疆重要讲话重要指示精神，完整准确贯彻新时代党的治疆方略，按照自治区党委、政府决策部署和地委、行署工作要求，切实履行法定职责，依法准确落实《政府信息公开条例》，全力推进政府信息公开工作。</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仿宋_GB2312" w:hAnsi="仿宋_GB2312" w:eastAsia="仿宋_GB2312" w:cs="仿宋_GB2312"/>
          <w:b/>
          <w:bCs/>
          <w:i w:val="0"/>
          <w:caps w:val="0"/>
          <w:color w:val="000000"/>
          <w:spacing w:val="0"/>
          <w:kern w:val="0"/>
          <w:sz w:val="30"/>
          <w:szCs w:val="30"/>
          <w:lang w:val="en-US" w:eastAsia="zh-CN" w:bidi="ar"/>
        </w:rPr>
        <w:t>（一）主动公开全面落实。</w:t>
      </w:r>
      <w:r>
        <w:rPr>
          <w:rFonts w:hint="eastAsia" w:ascii="仿宋_GB2312" w:hAnsi="仿宋_GB2312" w:eastAsia="仿宋_GB2312" w:cs="仿宋_GB2312"/>
          <w:i w:val="0"/>
          <w:caps w:val="0"/>
          <w:color w:val="000000"/>
          <w:spacing w:val="0"/>
          <w:kern w:val="0"/>
          <w:sz w:val="30"/>
          <w:szCs w:val="30"/>
          <w:lang w:val="en-US" w:eastAsia="zh-CN" w:bidi="ar"/>
        </w:rPr>
        <w:t>2022年，其乃巴格街道办事处发布各类信息0条，其中发布其乃巴格街道办事处文件0条，其乃巴格街道办事处文0条，办事处会议信息0条、新闻发布会信息0条，人大代表建议及政协委员提案办理信息0条，财政预决算信息0条，重点领域、重大民生信息0条。通过政务新媒体发布信息0条。</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仿宋_GB2312" w:hAnsi="仿宋_GB2312" w:eastAsia="仿宋_GB2312" w:cs="仿宋_GB2312"/>
          <w:b/>
          <w:bCs/>
          <w:i w:val="0"/>
          <w:caps w:val="0"/>
          <w:color w:val="000000"/>
          <w:spacing w:val="0"/>
          <w:kern w:val="0"/>
          <w:sz w:val="30"/>
          <w:szCs w:val="30"/>
          <w:lang w:val="en-US" w:eastAsia="zh-CN" w:bidi="ar"/>
        </w:rPr>
        <w:t>（二）依申请公开依法规范。</w:t>
      </w:r>
      <w:r>
        <w:rPr>
          <w:rFonts w:hint="eastAsia" w:ascii="仿宋_GB2312" w:hAnsi="仿宋_GB2312" w:eastAsia="仿宋_GB2312" w:cs="仿宋_GB2312"/>
          <w:i w:val="0"/>
          <w:caps w:val="0"/>
          <w:color w:val="000000"/>
          <w:spacing w:val="0"/>
          <w:kern w:val="0"/>
          <w:sz w:val="30"/>
          <w:szCs w:val="30"/>
          <w:lang w:val="en-US" w:eastAsia="zh-CN" w:bidi="ar"/>
        </w:rPr>
        <w:t>严格落实《政府信息公开条例》关于依申请公开工作的有关规定，认真及时做好沟通、协调、研判和规范答复工作，2022年未收到公开申请。</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仿宋_GB2312" w:hAnsi="仿宋_GB2312" w:eastAsia="仿宋_GB2312" w:cs="仿宋_GB2312"/>
          <w:b/>
          <w:bCs/>
          <w:i w:val="0"/>
          <w:caps w:val="0"/>
          <w:color w:val="000000"/>
          <w:spacing w:val="0"/>
          <w:kern w:val="0"/>
          <w:sz w:val="30"/>
          <w:szCs w:val="30"/>
          <w:lang w:val="en-US" w:eastAsia="zh-CN" w:bidi="ar"/>
        </w:rPr>
        <w:t>（三）强化政府信息管理。</w:t>
      </w:r>
      <w:r>
        <w:rPr>
          <w:rFonts w:hint="eastAsia" w:ascii="仿宋_GB2312" w:hAnsi="仿宋_GB2312" w:eastAsia="仿宋_GB2312" w:cs="仿宋_GB2312"/>
          <w:i w:val="0"/>
          <w:caps w:val="0"/>
          <w:color w:val="000000"/>
          <w:spacing w:val="0"/>
          <w:kern w:val="0"/>
          <w:sz w:val="30"/>
          <w:szCs w:val="30"/>
          <w:lang w:val="en-US" w:eastAsia="zh-CN" w:bidi="ar"/>
        </w:rPr>
        <w:t>规范做好主动公开文件发布和配套政策解读，优化调整政府信息公开专栏，新增规划信息、统计信息、重大预决策公开、财政资金直达基层等栏目，公开内容更加高效实用。</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b/>
          <w:bCs/>
          <w:i w:val="0"/>
          <w:caps w:val="0"/>
          <w:color w:val="000000"/>
          <w:spacing w:val="0"/>
          <w:kern w:val="0"/>
          <w:sz w:val="30"/>
          <w:szCs w:val="30"/>
          <w:lang w:val="en-US" w:eastAsia="zh-CN" w:bidi="ar"/>
        </w:rPr>
        <w:t>       （四）平台建设成效显著。</w:t>
      </w:r>
      <w:r>
        <w:rPr>
          <w:rFonts w:hint="eastAsia" w:ascii="仿宋_GB2312" w:hAnsi="仿宋_GB2312" w:eastAsia="仿宋_GB2312" w:cs="仿宋_GB2312"/>
          <w:b/>
          <w:bCs/>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此项工作2022年未开展</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0"/>
          <w:szCs w:val="30"/>
        </w:rPr>
      </w:pP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黑体" w:hAnsi="黑体" w:eastAsia="黑体" w:cs="黑体"/>
          <w:i w:val="0"/>
          <w:caps w:val="0"/>
          <w:color w:val="000000"/>
          <w:spacing w:val="0"/>
          <w:kern w:val="0"/>
          <w:sz w:val="30"/>
          <w:szCs w:val="30"/>
          <w:lang w:val="en-US" w:eastAsia="zh-CN" w:bidi="ar"/>
        </w:rPr>
        <w:t>二、主动公开政府信息情况</w:t>
      </w:r>
    </w:p>
    <w:tbl>
      <w:tblPr>
        <w:tblStyle w:val="2"/>
        <w:tblW w:w="9855"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3810"/>
        <w:gridCol w:w="2070"/>
        <w:gridCol w:w="1710"/>
        <w:gridCol w:w="2265"/>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855" w:type="dxa"/>
            <w:gridSpan w:val="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第二十条第（一）项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信息内容</w:t>
            </w:r>
          </w:p>
        </w:tc>
        <w:tc>
          <w:tcPr>
            <w:tcW w:w="207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本年制发件数</w:t>
            </w:r>
          </w:p>
        </w:tc>
        <w:tc>
          <w:tcPr>
            <w:tcW w:w="17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 </w:t>
            </w:r>
            <w:r>
              <w:rPr>
                <w:rFonts w:hint="default" w:ascii="微软雅黑" w:hAnsi="微软雅黑" w:eastAsia="微软雅黑" w:cs="微软雅黑"/>
                <w:kern w:val="0"/>
                <w:sz w:val="24"/>
                <w:szCs w:val="24"/>
                <w:lang w:val="en-US" w:eastAsia="zh-CN" w:bidi="ar"/>
              </w:rPr>
              <w:br w:type="textWrapping"/>
            </w:r>
            <w:r>
              <w:rPr>
                <w:rFonts w:hint="default" w:ascii="微软雅黑" w:hAnsi="微软雅黑" w:eastAsia="微软雅黑" w:cs="微软雅黑"/>
                <w:kern w:val="0"/>
                <w:sz w:val="24"/>
                <w:szCs w:val="24"/>
                <w:lang w:val="en-US" w:eastAsia="zh-CN" w:bidi="ar"/>
              </w:rPr>
              <w:t>本年废止件数</w:t>
            </w:r>
          </w:p>
        </w:tc>
        <w:tc>
          <w:tcPr>
            <w:tcW w:w="2265"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现行有效件数</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规章</w:t>
            </w:r>
          </w:p>
        </w:tc>
        <w:tc>
          <w:tcPr>
            <w:tcW w:w="207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eastAsia="宋体"/>
                <w:sz w:val="24"/>
                <w:szCs w:val="24"/>
                <w:lang w:val="en-US" w:eastAsia="zh-CN"/>
              </w:rPr>
            </w:pPr>
            <w:r>
              <w:rPr>
                <w:rFonts w:hint="eastAsia"/>
                <w:sz w:val="24"/>
                <w:szCs w:val="24"/>
                <w:lang w:val="en-US" w:eastAsia="zh-CN"/>
              </w:rPr>
              <w:t>0</w:t>
            </w:r>
          </w:p>
        </w:tc>
        <w:tc>
          <w:tcPr>
            <w:tcW w:w="17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c>
          <w:tcPr>
            <w:tcW w:w="2265"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规范性文件</w:t>
            </w:r>
          </w:p>
        </w:tc>
        <w:tc>
          <w:tcPr>
            <w:tcW w:w="207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c>
          <w:tcPr>
            <w:tcW w:w="1710"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c>
          <w:tcPr>
            <w:tcW w:w="2265"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default"/>
                <w:sz w:val="24"/>
                <w:szCs w:val="24"/>
                <w:lang w:val="en-US"/>
              </w:rPr>
            </w:pPr>
            <w:r>
              <w:rPr>
                <w:rFonts w:hint="eastAsia"/>
                <w:sz w:val="24"/>
                <w:szCs w:val="24"/>
                <w:lang w:val="en-US" w:eastAsia="zh-CN"/>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9855" w:type="dxa"/>
            <w:gridSpan w:val="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第二十条第（五）项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信息内容</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本年处理决定数量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行政许可</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eastAsia="宋体"/>
                <w:sz w:val="24"/>
                <w:szCs w:val="24"/>
                <w:lang w:val="en-US" w:eastAsia="zh-CN"/>
              </w:rPr>
            </w:pPr>
            <w:r>
              <w:rPr>
                <w:rFonts w:hint="eastAsia"/>
                <w:sz w:val="24"/>
                <w:szCs w:val="24"/>
                <w:lang w:val="en-US" w:eastAsia="zh-CN"/>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9855" w:type="dxa"/>
            <w:gridSpan w:val="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第二十条第（六）项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信息内容</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本年处理决定数量</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行政处罚</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行政强制</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9855" w:type="dxa"/>
            <w:gridSpan w:val="4"/>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第二十条第（八）项</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信息内容</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本年收费金额（单位：万元）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810" w:type="dxa"/>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left"/>
              <w:textAlignment w:val="auto"/>
              <w:rPr>
                <w:sz w:val="24"/>
                <w:szCs w:val="24"/>
              </w:rPr>
            </w:pPr>
            <w:r>
              <w:rPr>
                <w:rFonts w:hint="default" w:ascii="微软雅黑" w:hAnsi="微软雅黑" w:eastAsia="微软雅黑" w:cs="微软雅黑"/>
                <w:kern w:val="0"/>
                <w:sz w:val="24"/>
                <w:szCs w:val="24"/>
                <w:lang w:val="en-US" w:eastAsia="zh-CN" w:bidi="ar"/>
              </w:rPr>
              <w:t>行政事业性收费</w:t>
            </w:r>
          </w:p>
        </w:tc>
        <w:tc>
          <w:tcPr>
            <w:tcW w:w="6045" w:type="dxa"/>
            <w:gridSpan w:val="3"/>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sz w:val="24"/>
                <w:szCs w:val="24"/>
              </w:rPr>
            </w:pPr>
            <w:r>
              <w:rPr>
                <w:rFonts w:hint="eastAsia"/>
                <w:sz w:val="24"/>
                <w:szCs w:val="24"/>
                <w:lang w:val="en-US" w:eastAsia="zh-CN"/>
              </w:rPr>
              <w:t>0</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三、收到和处理政府信息公开申请情况  </w:t>
      </w:r>
    </w:p>
    <w:tbl>
      <w:tblPr>
        <w:tblStyle w:val="2"/>
        <w:tblW w:w="9735"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779"/>
        <w:gridCol w:w="945"/>
        <w:gridCol w:w="3278"/>
        <w:gridCol w:w="689"/>
        <w:gridCol w:w="689"/>
        <w:gridCol w:w="689"/>
        <w:gridCol w:w="689"/>
        <w:gridCol w:w="689"/>
        <w:gridCol w:w="719"/>
        <w:gridCol w:w="569"/>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002" w:type="dxa"/>
            <w:gridSpan w:val="3"/>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（本列数据的勾稽关系为：第一项加第二项之和，等于第三项加第四项之和）</w:t>
            </w:r>
          </w:p>
        </w:tc>
        <w:tc>
          <w:tcPr>
            <w:tcW w:w="4733" w:type="dxa"/>
            <w:gridSpan w:val="7"/>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申请人情况</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002" w:type="dxa"/>
            <w:gridSpan w:val="3"/>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89"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自然人</w:t>
            </w:r>
          </w:p>
        </w:tc>
        <w:tc>
          <w:tcPr>
            <w:tcW w:w="3475"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法人或其他组织</w:t>
            </w:r>
          </w:p>
        </w:tc>
        <w:tc>
          <w:tcPr>
            <w:tcW w:w="569"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总计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002" w:type="dxa"/>
            <w:gridSpan w:val="3"/>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8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商业</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企业</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科研</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机构</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社会公益组织</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法律服务机构</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其他</w:t>
            </w:r>
          </w:p>
        </w:tc>
        <w:tc>
          <w:tcPr>
            <w:tcW w:w="56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5002"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一、本年新收政府信息公开申请数量</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5002"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二、上年结转政府信息公开申请数量</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三、本年度办理结果</w:t>
            </w:r>
          </w:p>
        </w:tc>
        <w:tc>
          <w:tcPr>
            <w:tcW w:w="4223"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（一）予以公开</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4223"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（二）部分公开（区分处理的，只计这一情形，不计其他情形）</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（三）不予公开</w:t>
            </w: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1.属于国家秘密</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2.其他法律行政法规禁止公开</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3.危及“三安全一稳定”</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4.保护第三方合法权益</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5.属于三类内部事务信息</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6.属于四类过程性信息</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7.属于行政执法案卷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8.属于行政查询事项</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（四）无法提供</w:t>
            </w: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1.本机关不掌握相关政府信息</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2.没有现成信息需要另行制作</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3.补正后申请内容仍不明确</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（五）不予处理</w:t>
            </w: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1.信访举报投诉类申请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2.重复申请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3.要求提供公开出版物</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4.无正当理由大量反复申请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5.要求行政机关确认或重新出具已获取信息</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（六）其他处理</w:t>
            </w: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1.申请人无正当理由逾期不补正、行政机关不再处理其政府信息公开申请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2.申请人逾期未按收费通知要求缴纳费用、行政机关不再处理其政府信息公开申请</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945"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327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3.其他</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9"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4223" w:type="dxa"/>
            <w:gridSpan w:val="2"/>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（七）总计</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5002" w:type="dxa"/>
            <w:gridSpan w:val="3"/>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四、结转下年度继续办理</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8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7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56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r>
    </w:tbl>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w:t>
      </w:r>
      <w:r>
        <w:rPr>
          <w:rFonts w:hint="eastAsia" w:ascii="黑体" w:hAnsi="黑体" w:eastAsia="黑体" w:cs="黑体"/>
          <w:i w:val="0"/>
          <w:caps w:val="0"/>
          <w:color w:val="000000"/>
          <w:spacing w:val="0"/>
          <w:kern w:val="0"/>
          <w:sz w:val="24"/>
          <w:szCs w:val="24"/>
          <w:lang w:val="en-US" w:eastAsia="zh-CN" w:bidi="ar"/>
        </w:rPr>
        <w:t>四、政府信息公开行政复议、行政诉讼情况</w:t>
      </w:r>
    </w:p>
    <w:tbl>
      <w:tblPr>
        <w:tblStyle w:val="2"/>
        <w:tblW w:w="9735" w:type="dxa"/>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642"/>
        <w:gridCol w:w="642"/>
        <w:gridCol w:w="642"/>
        <w:gridCol w:w="642"/>
        <w:gridCol w:w="642"/>
        <w:gridCol w:w="642"/>
        <w:gridCol w:w="642"/>
        <w:gridCol w:w="642"/>
        <w:gridCol w:w="642"/>
        <w:gridCol w:w="642"/>
        <w:gridCol w:w="642"/>
        <w:gridCol w:w="642"/>
        <w:gridCol w:w="642"/>
        <w:gridCol w:w="642"/>
        <w:gridCol w:w="74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321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行政复议</w:t>
            </w:r>
          </w:p>
        </w:tc>
        <w:tc>
          <w:tcPr>
            <w:tcW w:w="6525" w:type="dxa"/>
            <w:gridSpan w:val="10"/>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行政诉讼</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结果维持</w:t>
            </w:r>
          </w:p>
        </w:tc>
        <w:tc>
          <w:tcPr>
            <w:tcW w:w="64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纠正</w:t>
            </w:r>
          </w:p>
        </w:tc>
        <w:tc>
          <w:tcPr>
            <w:tcW w:w="64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其他</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结果</w:t>
            </w:r>
          </w:p>
        </w:tc>
        <w:tc>
          <w:tcPr>
            <w:tcW w:w="64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尚未</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审结</w:t>
            </w:r>
          </w:p>
        </w:tc>
        <w:tc>
          <w:tcPr>
            <w:tcW w:w="642"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总计</w:t>
            </w:r>
          </w:p>
        </w:tc>
        <w:tc>
          <w:tcPr>
            <w:tcW w:w="3210"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未经复议直接起诉</w:t>
            </w:r>
          </w:p>
        </w:tc>
        <w:tc>
          <w:tcPr>
            <w:tcW w:w="3315" w:type="dxa"/>
            <w:gridSpan w:val="5"/>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复议后起诉</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642"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42"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42"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42"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42" w:type="dxa"/>
            <w:vMerge w:val="continue"/>
            <w:noWrap w:val="0"/>
            <w:vAlign w:val="center"/>
          </w:tcPr>
          <w:p>
            <w:pPr>
              <w:keepNext w:val="0"/>
              <w:keepLines w:val="0"/>
              <w:pageBreakBefore w:val="0"/>
              <w:kinsoku/>
              <w:wordWrap/>
              <w:overflowPunct/>
              <w:topLinePunct w:val="0"/>
              <w:autoSpaceDE/>
              <w:autoSpaceDN/>
              <w:bidi w:val="0"/>
              <w:adjustRightInd/>
              <w:snapToGrid/>
              <w:spacing w:line="560" w:lineRule="exact"/>
              <w:textAlignment w:val="auto"/>
              <w:rPr>
                <w:rFonts w:hint="default" w:ascii="微软雅黑" w:hAnsi="微软雅黑" w:eastAsia="微软雅黑" w:cs="微软雅黑"/>
                <w:i w:val="0"/>
                <w:caps w:val="0"/>
                <w:color w:val="000000"/>
                <w:spacing w:val="0"/>
                <w:sz w:val="24"/>
                <w:szCs w:val="24"/>
              </w:rPr>
            </w:pP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维持</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纠正</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其他</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结果</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尚未</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审结</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总计</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维持</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结果</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纠正</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其他</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结果</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尚未</w:t>
            </w:r>
            <w:r>
              <w:rPr>
                <w:rFonts w:hint="default" w:ascii="微软雅黑" w:hAnsi="微软雅黑" w:eastAsia="微软雅黑" w:cs="微软雅黑"/>
                <w:i w:val="0"/>
                <w:caps w:val="0"/>
                <w:color w:val="000000"/>
                <w:spacing w:val="0"/>
                <w:kern w:val="0"/>
                <w:sz w:val="24"/>
                <w:szCs w:val="24"/>
                <w:lang w:val="en-US" w:eastAsia="zh-CN" w:bidi="ar"/>
              </w:rPr>
              <w:br w:type="textWrapping"/>
            </w:r>
            <w:r>
              <w:rPr>
                <w:rFonts w:hint="default" w:ascii="微软雅黑" w:hAnsi="微软雅黑" w:eastAsia="微软雅黑" w:cs="微软雅黑"/>
                <w:i w:val="0"/>
                <w:caps w:val="0"/>
                <w:color w:val="000000"/>
                <w:spacing w:val="0"/>
                <w:kern w:val="0"/>
                <w:sz w:val="24"/>
                <w:szCs w:val="24"/>
                <w:lang w:val="en-US" w:eastAsia="zh-CN" w:bidi="ar"/>
              </w:rPr>
              <w:t>审结</w:t>
            </w:r>
          </w:p>
        </w:tc>
        <w:tc>
          <w:tcPr>
            <w:tcW w:w="74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总计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Ex>
        <w:trPr>
          <w:tblCellSpacing w:w="0" w:type="dxa"/>
          <w:jc w:val="center"/>
        </w:trPr>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 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642"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c>
          <w:tcPr>
            <w:tcW w:w="74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default" w:ascii="微软雅黑" w:hAnsi="微软雅黑" w:eastAsia="微软雅黑" w:cs="微软雅黑"/>
                <w:i w:val="0"/>
                <w:caps w:val="0"/>
                <w:color w:val="000000"/>
                <w:spacing w:val="0"/>
                <w:sz w:val="24"/>
                <w:szCs w:val="24"/>
              </w:rPr>
            </w:pPr>
            <w:r>
              <w:rPr>
                <w:rFonts w:hint="default" w:ascii="微软雅黑" w:hAnsi="微软雅黑" w:eastAsia="微软雅黑" w:cs="微软雅黑"/>
                <w:i w:val="0"/>
                <w:caps w:val="0"/>
                <w:color w:val="000000"/>
                <w:spacing w:val="0"/>
                <w:kern w:val="0"/>
                <w:sz w:val="24"/>
                <w:szCs w:val="24"/>
                <w:lang w:val="en-US" w:eastAsia="zh-CN" w:bidi="ar"/>
              </w:rPr>
              <w:t>0</w:t>
            </w:r>
          </w:p>
        </w:tc>
      </w:tr>
    </w:tbl>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caps w:val="0"/>
          <w:color w:val="000000"/>
          <w:spacing w:val="0"/>
          <w:kern w:val="0"/>
          <w:sz w:val="24"/>
          <w:szCs w:val="24"/>
          <w:lang w:val="en-US" w:eastAsia="zh-CN" w:bidi="ar"/>
        </w:rPr>
      </w:pPr>
      <w:r>
        <w:rPr>
          <w:rFonts w:hint="default" w:ascii="微软雅黑" w:hAnsi="微软雅黑" w:eastAsia="微软雅黑" w:cs="微软雅黑"/>
          <w:i w:val="0"/>
          <w:caps w:val="0"/>
          <w:color w:val="000000"/>
          <w:spacing w:val="0"/>
          <w:kern w:val="0"/>
          <w:sz w:val="24"/>
          <w:szCs w:val="24"/>
          <w:lang w:val="en-US" w:eastAsia="zh-CN" w:bidi="ar"/>
        </w:rPr>
        <w:t xml:space="preserve">    </w:t>
      </w:r>
      <w:r>
        <w:rPr>
          <w:rFonts w:hint="default" w:ascii="微软雅黑" w:hAnsi="微软雅黑" w:eastAsia="微软雅黑" w:cs="微软雅黑"/>
          <w:i w:val="0"/>
          <w:caps w:val="0"/>
          <w:color w:val="000000"/>
          <w:spacing w:val="0"/>
          <w:kern w:val="0"/>
          <w:sz w:val="32"/>
          <w:szCs w:val="32"/>
          <w:lang w:val="en-US" w:eastAsia="zh-CN" w:bidi="ar"/>
        </w:rPr>
        <w:t> </w:t>
      </w:r>
      <w:r>
        <w:rPr>
          <w:rFonts w:hint="eastAsia" w:ascii="仿宋_GB2312" w:hAnsi="仿宋_GB2312" w:eastAsia="仿宋_GB2312" w:cs="仿宋_GB2312"/>
          <w:i w:val="0"/>
          <w:caps w:val="0"/>
          <w:color w:val="000000"/>
          <w:spacing w:val="0"/>
          <w:kern w:val="0"/>
          <w:sz w:val="32"/>
          <w:szCs w:val="32"/>
          <w:lang w:val="en-US" w:eastAsia="zh-CN" w:bidi="ar"/>
        </w:rPr>
        <w:t xml:space="preserve">  </w:t>
      </w:r>
      <w:r>
        <w:rPr>
          <w:rFonts w:hint="eastAsia" w:ascii="黑体" w:hAnsi="黑体" w:eastAsia="黑体" w:cs="黑体"/>
          <w:i w:val="0"/>
          <w:caps w:val="0"/>
          <w:color w:val="000000"/>
          <w:spacing w:val="0"/>
          <w:kern w:val="0"/>
          <w:sz w:val="32"/>
          <w:szCs w:val="32"/>
          <w:lang w:val="en-US" w:eastAsia="zh-CN" w:bidi="ar"/>
        </w:rPr>
        <w:t>五、存在的主要问题及改进情况</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caps w:val="0"/>
          <w:color w:val="000000"/>
          <w:spacing w:val="0"/>
          <w:kern w:val="0"/>
          <w:sz w:val="30"/>
          <w:szCs w:val="30"/>
          <w:lang w:val="en-US" w:eastAsia="zh-CN" w:bidi="ar"/>
        </w:rPr>
      </w:pPr>
      <w:r>
        <w:rPr>
          <w:rFonts w:hint="eastAsia" w:ascii="仿宋_GB2312" w:hAnsi="仿宋_GB2312" w:eastAsia="仿宋_GB2312" w:cs="仿宋_GB2312"/>
          <w:i w:val="0"/>
          <w:caps w:val="0"/>
          <w:color w:val="000000"/>
          <w:spacing w:val="0"/>
          <w:kern w:val="0"/>
          <w:sz w:val="30"/>
          <w:szCs w:val="30"/>
          <w:lang w:val="en-US" w:eastAsia="zh-CN" w:bidi="ar"/>
        </w:rPr>
        <w:t>       主要存在、政策解读还不够深入、专业人员存在缺口。2022年，将认真梳理信息公开目录内容并2023年加大力量，加大主动公开力度。严格落实政策解读工作机制，切实提升政策解读的广度和深度，更好惠民便企。</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w:t>
      </w:r>
      <w:r>
        <w:rPr>
          <w:rFonts w:hint="eastAsia" w:ascii="黑体" w:hAnsi="黑体" w:eastAsia="黑体" w:cs="黑体"/>
          <w:i w:val="0"/>
          <w:caps w:val="0"/>
          <w:color w:val="000000"/>
          <w:spacing w:val="0"/>
          <w:kern w:val="0"/>
          <w:sz w:val="30"/>
          <w:szCs w:val="30"/>
          <w:lang w:val="en-US" w:eastAsia="zh-CN" w:bidi="ar"/>
        </w:rPr>
        <w:t>六、其他需要报告的事项</w:t>
      </w:r>
      <w:r>
        <w:rPr>
          <w:rFonts w:hint="eastAsia" w:ascii="仿宋_GB2312" w:hAnsi="仿宋_GB2312" w:eastAsia="仿宋_GB2312" w:cs="仿宋_GB2312"/>
          <w:i w:val="0"/>
          <w:caps w:val="0"/>
          <w:color w:val="000000"/>
          <w:spacing w:val="0"/>
          <w:kern w:val="0"/>
          <w:sz w:val="30"/>
          <w:szCs w:val="30"/>
          <w:lang w:val="en-US" w:eastAsia="zh-CN" w:bidi="ar"/>
        </w:rPr>
        <w:br w:type="textWrapping"/>
      </w:r>
      <w:r>
        <w:rPr>
          <w:rFonts w:hint="eastAsia" w:ascii="仿宋_GB2312" w:hAnsi="仿宋_GB2312" w:eastAsia="仿宋_GB2312" w:cs="仿宋_GB2312"/>
          <w:i w:val="0"/>
          <w:caps w:val="0"/>
          <w:color w:val="000000"/>
          <w:spacing w:val="0"/>
          <w:kern w:val="0"/>
          <w:sz w:val="30"/>
          <w:szCs w:val="30"/>
          <w:lang w:val="en-US" w:eastAsia="zh-CN" w:bidi="ar"/>
        </w:rPr>
        <w:t>       2022年度本机关未收取信息处理费。发出收费通知的件数和总金额，以及实际收取的总金额均为0。本报告中规范性文件现行有效数统计起始时间为2022年。</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i w:val="0"/>
          <w:caps w:val="0"/>
          <w:color w:val="000000"/>
          <w:spacing w:val="0"/>
          <w:kern w:val="0"/>
          <w:sz w:val="28"/>
          <w:szCs w:val="28"/>
          <w:lang w:val="en-US" w:eastAsia="zh-CN" w:bidi="ar"/>
        </w:rPr>
      </w:pPr>
    </w:p>
    <w:p>
      <w:pPr>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kinsoku/>
        <w:wordWrap/>
        <w:overflowPunct/>
        <w:topLinePunct w:val="0"/>
        <w:autoSpaceDE/>
        <w:autoSpaceDN/>
        <w:bidi w:val="0"/>
        <w:adjustRightInd/>
        <w:snapToGrid/>
        <w:spacing w:line="560" w:lineRule="exact"/>
        <w:textAlignment w:val="auto"/>
      </w:pPr>
    </w:p>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i w:val="0"/>
          <w:caps w:val="0"/>
          <w:color w:val="000000"/>
          <w:spacing w:val="0"/>
          <w:kern w:val="0"/>
          <w:sz w:val="30"/>
          <w:szCs w:val="30"/>
          <w:lang w:val="en-US" w:eastAsia="zh-CN" w:bidi="ar"/>
        </w:rPr>
      </w:pPr>
      <w:r>
        <w:rPr>
          <w:rFonts w:hint="eastAsia" w:ascii="仿宋_GB2312" w:hAnsi="仿宋_GB2312" w:eastAsia="仿宋_GB2312" w:cs="仿宋_GB2312"/>
          <w:i w:val="0"/>
          <w:caps w:val="0"/>
          <w:color w:val="000000"/>
          <w:spacing w:val="0"/>
          <w:kern w:val="0"/>
          <w:sz w:val="30"/>
          <w:szCs w:val="30"/>
          <w:lang w:val="en-US" w:eastAsia="zh-CN" w:bidi="ar"/>
        </w:rPr>
        <w:t>其乃巴格街道办事处</w:t>
      </w:r>
    </w:p>
    <w:p>
      <w:pPr>
        <w:keepNext w:val="0"/>
        <w:keepLines w:val="0"/>
        <w:pageBreakBefore w:val="0"/>
        <w:widowControl/>
        <w:suppressLineNumbers w:val="0"/>
        <w:kinsoku/>
        <w:wordWrap/>
        <w:overflowPunct/>
        <w:topLinePunct w:val="0"/>
        <w:autoSpaceDE/>
        <w:autoSpaceDN/>
        <w:bidi w:val="0"/>
        <w:adjustRightInd/>
        <w:snapToGrid/>
        <w:spacing w:line="560" w:lineRule="exact"/>
        <w:jc w:val="right"/>
        <w:textAlignment w:val="auto"/>
        <w:rPr>
          <w:rFonts w:hint="default" w:ascii="仿宋_GB2312" w:hAnsi="仿宋_GB2312" w:eastAsia="仿宋_GB2312" w:cs="仿宋_GB2312"/>
          <w:i w:val="0"/>
          <w:caps w:val="0"/>
          <w:color w:val="000000"/>
          <w:spacing w:val="0"/>
          <w:kern w:val="0"/>
          <w:sz w:val="30"/>
          <w:szCs w:val="30"/>
          <w:lang w:val="en-US" w:eastAsia="zh-CN" w:bidi="ar"/>
        </w:rPr>
      </w:pPr>
      <w:r>
        <w:rPr>
          <w:rFonts w:hint="eastAsia" w:ascii="仿宋_GB2312" w:hAnsi="仿宋_GB2312" w:eastAsia="仿宋_GB2312" w:cs="仿宋_GB2312"/>
          <w:i w:val="0"/>
          <w:caps w:val="0"/>
          <w:color w:val="000000"/>
          <w:spacing w:val="0"/>
          <w:kern w:val="0"/>
          <w:sz w:val="30"/>
          <w:szCs w:val="30"/>
          <w:lang w:val="en-US" w:eastAsia="zh-CN" w:bidi="ar"/>
        </w:rPr>
        <w:t>2022年12月</w:t>
      </w:r>
      <w:bookmarkStart w:id="0" w:name="_GoBack"/>
      <w:bookmarkEnd w:id="0"/>
      <w:r>
        <w:rPr>
          <w:rFonts w:hint="eastAsia" w:ascii="仿宋_GB2312" w:hAnsi="仿宋_GB2312" w:eastAsia="仿宋_GB2312" w:cs="仿宋_GB2312"/>
          <w:i w:val="0"/>
          <w:caps w:val="0"/>
          <w:color w:val="000000"/>
          <w:spacing w:val="0"/>
          <w:kern w:val="0"/>
          <w:sz w:val="30"/>
          <w:szCs w:val="30"/>
          <w:lang w:val="en-US" w:eastAsia="zh-CN" w:bidi="ar"/>
        </w:rPr>
        <w:t>28日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hYTczODRiODQ3NzY4YmNmZDk4MDVmYjU1ZGFkOGQifQ=="/>
  </w:docVars>
  <w:rsids>
    <w:rsidRoot w:val="00000000"/>
    <w:rsid w:val="0B5617F3"/>
    <w:rsid w:val="0D7A146F"/>
    <w:rsid w:val="197832BB"/>
    <w:rsid w:val="1AD9522D"/>
    <w:rsid w:val="1D057A96"/>
    <w:rsid w:val="2BA9403D"/>
    <w:rsid w:val="5A3E5FEA"/>
    <w:rsid w:val="729D36A9"/>
    <w:rsid w:val="74091DBD"/>
    <w:rsid w:val="7FFB9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19</TotalTime>
  <ScaleCrop>false</ScaleCrop>
  <LinksUpToDate>false</LinksUpToDate>
  <CharactersWithSpaces>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2023-12-14T13:13:00Z</dcterms:created>
  <dc:creator>Administrator</dc:creator>
  <cp:lastModifiedBy>sugon</cp:lastModifiedBy>
  <cp:lastPrinted>2023-12-14T13:28:00Z</cp:lastPrinted>
  <dcterms:modified xsi:type="dcterms:W3CDTF">2023-12-18T12:20:01Z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C9ECC99D2B924822931847FDE6B70426_12</vt:lpwstr>
  </property>
</Properties>
</file>