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2022年墨玉县审计局政府信息公开工作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年度报告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     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依据《中华人民共和国政府信息公开条例》(以下简称《政府信息公开条例》)和《关于印发中华人民共和国政府信息公开工作年度报告格式的通知》(国办公开办函〔2021〕30号)要求，编制本报告。报告中所列数据统计期限自2022年1月1日起至12月31日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 xml:space="preserve">   </w:t>
      </w: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一、总体情况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  2022年，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" w:eastAsia="zh-CN" w:bidi="ar"/>
        </w:rPr>
        <w:t>墨玉县审计局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坚持以习近平新时代中国特色社会主义思想为指导，深入学习贯彻党的二十大精神，贯彻习近平总书记视察新疆重要讲话重要指示精神，完整准确贯彻新时代党的治疆方略，按照自治区党委、政府决策部署和地委、行署工作要求，切实履行法定职责，依法准确落实《政府信息公开条例》，全力推进政府信息公开工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（一）主动公开全面落实。2022年，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" w:eastAsia="zh-CN" w:bidi="ar"/>
        </w:rPr>
        <w:t>墨玉县审计局通过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人民政府门户网站发布审计局权责清单信息32条，其中行政处罚16条，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" w:eastAsia="zh-CN" w:bidi="ar"/>
        </w:rPr>
        <w:t>行政检查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12条，行政强制2条。其他行政权力2条。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（二）依法申请公开依法规范。严格落实《政府信息公开条例》关于依法申请公开工作的有关规定，认真及时做好沟通、协调、研判和规范工作，2022年无公开申请。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（三）强化信息管理。规范做好主动公开发布和配套解读，优化调整信息公开栏，将本单位权责清单张贴于公开栏，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使公开内容更加高效实用。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二、主动公开政府信息情况</w:t>
      </w:r>
    </w:p>
    <w:tbl>
      <w:tblPr>
        <w:tblStyle w:val="2"/>
        <w:tblW w:w="985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0"/>
        <w:gridCol w:w="2070"/>
        <w:gridCol w:w="1710"/>
        <w:gridCol w:w="226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第二十条第（一）项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本年制发件数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本年废止件数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现行有效件数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规章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规范性文件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第二十条第（五）项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行政许可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第二十条第（六）项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行政处罚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行政强制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第二十条第（八）项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本年收费金额（单位：万元）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行政事业性收费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 w:firstLineChars="200"/>
        <w:jc w:val="left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三、收到和处理政府信息公开申请情况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945"/>
        <w:gridCol w:w="3278"/>
        <w:gridCol w:w="689"/>
        <w:gridCol w:w="689"/>
        <w:gridCol w:w="689"/>
        <w:gridCol w:w="689"/>
        <w:gridCol w:w="689"/>
        <w:gridCol w:w="719"/>
        <w:gridCol w:w="56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73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自然人</w:t>
            </w:r>
          </w:p>
        </w:tc>
        <w:tc>
          <w:tcPr>
            <w:tcW w:w="3475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法人或其他组织</w:t>
            </w:r>
          </w:p>
        </w:tc>
        <w:tc>
          <w:tcPr>
            <w:tcW w:w="56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商业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科研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机构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社会公益组织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法律服务机构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56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三、本年度办理结果</w:t>
            </w: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（一）予以公开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（三）不予公开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1.属于国家秘密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2.其他法律行政法规禁止公开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3.危及“三安全一稳定”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4.保护第三方合法权益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5.属于三类内部事务信息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6.属于四类过程性信息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7.属于行政执法案卷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8.属于行政查询事项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（四）无法提供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1.本机关不掌握相关政府信息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2.没有现成信息需要另行制作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3.补正后申请内容仍不明确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（五）不予处理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1.信访举报投诉类申请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2.重复申请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3.要求提供公开出版物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4.无正当理由大量反复申请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（六）其他处理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3.其他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（七）总计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四、结转下年度继续办理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 w:firstLineChars="200"/>
        <w:jc w:val="left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四、政府信息公开行政复议、行政诉讼情况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21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行政复议</w:t>
            </w:r>
          </w:p>
        </w:tc>
        <w:tc>
          <w:tcPr>
            <w:tcW w:w="6525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结果维持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未经复议直接起诉</w:t>
            </w:r>
          </w:p>
        </w:tc>
        <w:tc>
          <w:tcPr>
            <w:tcW w:w="3315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五、存在的主要问题及改进情况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66" w:lef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主要存在主动公开信息不全面、政策解读还不够深入、人员不固定等问题。2023年，将认真梳理信息公开目录内容，加大主动公开力度。严格落实政策解读工作机制，切实提升政策解读的广度和深度，更好惠民便企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440" w:firstLineChars="17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440" w:firstLineChars="1700"/>
        <w:jc w:val="left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32FEC"/>
    <w:rsid w:val="2B032FEC"/>
    <w:rsid w:val="2DB73184"/>
    <w:rsid w:val="77FE079C"/>
    <w:rsid w:val="DDDB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2023-12-12T23:45:00Z</dcterms:created>
  <dc:creator>Administrator</dc:creator>
  <cp:lastModifiedBy>sugon</cp:lastModifiedBy>
  <dcterms:modified xsi:type="dcterms:W3CDTF">2023-12-18T13:40:17Z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