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2022年芒来乡人民政府信息公开工作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年度报告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依据《中华人民共和国政府信息公开条例》(以下简称《政府信息公开条例》)和《关于印发中华人民共和国政府信息公开工作年度报告格式的通知》(国办公开办函〔2021〕30号)要求，编制本报告。报告中所列数据统计期限自2022年1月1日起至12月31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28" w:leftChars="0"/>
        <w:jc w:val="left"/>
        <w:textAlignment w:val="auto"/>
        <w:rPr>
          <w:rFonts w:hint="eastAsia" w:ascii="黑体" w:hAnsi="黑体" w:eastAsia="黑体" w:cs="黑体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一、总体情况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2022年，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" w:eastAsia="zh-CN" w:bidi="ar"/>
          <w14:textFill>
            <w14:solidFill>
              <w14:schemeClr w14:val="tx1"/>
            </w14:solidFill>
          </w14:textFill>
        </w:rPr>
        <w:t>芒来乡人民政府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坚持以习近平新时代中国特色社会主义思想为指导，深入学习贯彻党的二十大精神，贯彻习近平总书记视察新疆重要讲话重要指示精神，完整准确贯彻新时代党的治疆方略，按照自治区党委、政府决策部署和地委、行署工作要求，切实履行法定职责，依法准确落实《政府信息公开条例》，全力推进政府信息公开工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（一）主动公开全面落实。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2022年，芒来乡人民政府通过门户网站发布各类信息0条，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" w:eastAsia="zh-CN" w:bidi="ar"/>
          <w14:textFill>
            <w14:solidFill>
              <w14:schemeClr w14:val="tx1"/>
            </w14:solidFill>
          </w14:textFill>
        </w:rPr>
        <w:t>芒来乡人民政府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文0条，政府会议信息0条、新闻发布会信息0条，人大代表建议及政协委员提案办理信息0条，财政预决算信息0条，重点领域、重大民生信息0条。通过政务新媒体发布信息0条。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（二）依申请公开依法规范。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严格落实《政府信息公开条例》关于依申请公开工作的有关规定，认真及时做好沟通、协调、研判和规范答复工作，2022年未收到公开申请。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（三）强化政府信息管理。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规范做好主动公开文件发布和配套政策解读，优化调整政府信息公开专栏，新增规划信息、统计信息、重大预决策公开、财政资金直达基层等栏目，公开内容更加高效实用。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二、主动公开政府信息情况</w:t>
      </w:r>
    </w:p>
    <w:tbl>
      <w:tblPr>
        <w:tblStyle w:val="2"/>
        <w:tblW w:w="985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10"/>
        <w:gridCol w:w="2070"/>
        <w:gridCol w:w="1710"/>
        <w:gridCol w:w="226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第二十条第（一）项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207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本年制发件数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年废止件数</w:t>
            </w:r>
          </w:p>
        </w:tc>
        <w:tc>
          <w:tcPr>
            <w:tcW w:w="2265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现行有效件数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规章</w:t>
            </w:r>
          </w:p>
        </w:tc>
        <w:tc>
          <w:tcPr>
            <w:tcW w:w="207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265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规范性文件</w:t>
            </w:r>
          </w:p>
        </w:tc>
        <w:tc>
          <w:tcPr>
            <w:tcW w:w="207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265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第二十条第（五）项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本年处理决定数量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第二十条第（六）项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本年处理决定数量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行政处罚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行政强制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第二十条第（八）项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本年收费金额（单位：万元）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行政事业性收费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三、收到和处理政府信息公开申请情况</w:t>
      </w:r>
    </w:p>
    <w:tbl>
      <w:tblPr>
        <w:tblStyle w:val="2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990"/>
        <w:gridCol w:w="3062"/>
        <w:gridCol w:w="699"/>
        <w:gridCol w:w="699"/>
        <w:gridCol w:w="699"/>
        <w:gridCol w:w="699"/>
        <w:gridCol w:w="699"/>
        <w:gridCol w:w="718"/>
        <w:gridCol w:w="69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823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（本列数据的勾稽关系为：第一项加第二项之和，等于第三项加第四项之和）</w:t>
            </w:r>
          </w:p>
        </w:tc>
        <w:tc>
          <w:tcPr>
            <w:tcW w:w="491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申请人情况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823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自然人</w:t>
            </w:r>
          </w:p>
        </w:tc>
        <w:tc>
          <w:tcPr>
            <w:tcW w:w="3514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法人或其他组织</w:t>
            </w:r>
          </w:p>
        </w:tc>
        <w:tc>
          <w:tcPr>
            <w:tcW w:w="69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823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商业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科研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机构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社会公益组织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法律服务机构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482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一、本年新收政府信息公开申请数量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82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二、上年结转政府信息公开申请数量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三、本年度办理结果</w:t>
            </w:r>
          </w:p>
        </w:tc>
        <w:tc>
          <w:tcPr>
            <w:tcW w:w="40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（一）予以公开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（二）部分公开（区分处理的，只计这一情形，不计其他情形）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（三）不予公开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1.属于国家秘密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2.其他法律行政法规禁止公开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3.危及“三安全一稳定”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4.保护第三方合法权益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5.属于三类内部事务信息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6.属于四类过程性信息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7.属于行政执法案卷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8.属于行政查询事项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（四）无法提供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1.本机关不掌握相关政府信息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2.没有现成信息需要另行制作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3.补正后申请内容仍不明确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（五）不予处理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1.信访举报投诉类申请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2.重复申请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3.要求提供公开出版物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4.无正当理由大量反复申请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5.要求行政机关确认或重新出具已获取信息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（六）其他处理</w:t>
            </w: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1.申请人无正当理由逾期不补正、行政机关不再处理其政府信息公开申请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2.申请人逾期未按收费通知要求缴纳费用、行政机关不再处理其政府信息公开申请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3.其他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（七）总计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82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四、结转下年度继续办理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四、政府信息公开行政复议、行政诉讼情况</w:t>
      </w:r>
    </w:p>
    <w:tbl>
      <w:tblPr>
        <w:tblStyle w:val="2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9"/>
        <w:gridCol w:w="643"/>
        <w:gridCol w:w="644"/>
        <w:gridCol w:w="644"/>
        <w:gridCol w:w="644"/>
        <w:gridCol w:w="644"/>
        <w:gridCol w:w="644"/>
        <w:gridCol w:w="634"/>
        <w:gridCol w:w="634"/>
        <w:gridCol w:w="634"/>
        <w:gridCol w:w="634"/>
        <w:gridCol w:w="634"/>
        <w:gridCol w:w="634"/>
        <w:gridCol w:w="634"/>
        <w:gridCol w:w="73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tblCellSpacing w:w="0" w:type="dxa"/>
          <w:jc w:val="center"/>
        </w:trPr>
        <w:tc>
          <w:tcPr>
            <w:tcW w:w="3274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行政复议</w:t>
            </w:r>
          </w:p>
        </w:tc>
        <w:tc>
          <w:tcPr>
            <w:tcW w:w="6461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行政诉讼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9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结果维持</w:t>
            </w:r>
          </w:p>
        </w:tc>
        <w:tc>
          <w:tcPr>
            <w:tcW w:w="64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4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4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4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319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未经复议直接起诉</w:t>
            </w:r>
          </w:p>
        </w:tc>
        <w:tc>
          <w:tcPr>
            <w:tcW w:w="327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复议后起诉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维持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维持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00000" w:themeColor="text1"/>
                <w:spacing w:val="0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五、存在的主要问题及改进情况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主要存在主动公开信息不全面、政策解读还不够深入、人员不固定等问题。2023年，将认真梳理信息公开目录内容，加大主动公开力度。严格落实政策解读工作机制，切实提升政策解读的广度和深度，更好惠民便企。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</w:p>
    <w:sectPr>
      <w:pgSz w:w="11906" w:h="16838"/>
      <w:pgMar w:top="2154" w:right="1531" w:bottom="204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NDc4ZDRjMWIwZTcwODcyMjVjZjk3ZTMyNmNkMWIifQ=="/>
  </w:docVars>
  <w:rsids>
    <w:rsidRoot w:val="62562D55"/>
    <w:rsid w:val="62562D55"/>
    <w:rsid w:val="79791AD6"/>
    <w:rsid w:val="7FB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2023-12-13T22:09:00Z</dcterms:created>
  <dc:creator>清颜折笙</dc:creator>
  <cp:lastModifiedBy>sugon</cp:lastModifiedBy>
  <cp:lastPrinted>2023-12-14T11:08:00Z</cp:lastPrinted>
  <dcterms:modified xsi:type="dcterms:W3CDTF">2023-12-18T12:29:23Z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C67ABB9055C74E55AAE7097456235F78_11</vt:lpwstr>
  </property>
</Properties>
</file>