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784261">
      <w:pPr>
        <w:jc w:val="center"/>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墨玉县2022年东片区棚户区建设项目</w:t>
      </w:r>
    </w:p>
    <w:p w14:paraId="4363416C">
      <w:pPr>
        <w:jc w:val="center"/>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t>“9·23”一般触电事故报告</w:t>
      </w:r>
    </w:p>
    <w:p w14:paraId="1D5516EF">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方正小标宋简体" w:hAnsi="方正小标宋简体" w:eastAsia="方正小标宋简体" w:cs="方正小标宋简体"/>
          <w:color w:val="auto"/>
          <w:sz w:val="44"/>
          <w:szCs w:val="44"/>
          <w:lang w:eastAsia="zh-CN"/>
        </w:rPr>
      </w:pPr>
    </w:p>
    <w:p w14:paraId="15CEC6FD">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方正小标宋简体" w:hAnsi="方正小标宋简体" w:eastAsia="方正小标宋简体" w:cs="方正小标宋简体"/>
          <w:color w:val="auto"/>
          <w:sz w:val="44"/>
          <w:szCs w:val="44"/>
          <w:lang w:eastAsia="zh-CN"/>
        </w:rPr>
      </w:pPr>
    </w:p>
    <w:p w14:paraId="40F554CD">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方正小标宋简体" w:hAnsi="方正小标宋简体" w:eastAsia="方正小标宋简体" w:cs="方正小标宋简体"/>
          <w:color w:val="auto"/>
          <w:sz w:val="44"/>
          <w:szCs w:val="44"/>
          <w:lang w:eastAsia="zh-CN"/>
        </w:rPr>
      </w:pPr>
    </w:p>
    <w:p w14:paraId="49F9B114">
      <w:pPr>
        <w:keepNext w:val="0"/>
        <w:keepLines w:val="0"/>
        <w:pageBreakBefore w:val="0"/>
        <w:widowControl w:val="0"/>
        <w:kinsoku/>
        <w:wordWrap/>
        <w:overflowPunct/>
        <w:topLinePunct w:val="0"/>
        <w:autoSpaceDE/>
        <w:autoSpaceDN/>
        <w:bidi w:val="0"/>
        <w:adjustRightInd/>
        <w:snapToGrid/>
        <w:ind w:left="0" w:leftChars="0"/>
        <w:jc w:val="center"/>
        <w:textAlignment w:val="auto"/>
        <w:rPr>
          <w:rFonts w:hint="eastAsia" w:ascii="方正小标宋简体" w:hAnsi="方正小标宋简体" w:eastAsia="方正小标宋简体" w:cs="方正小标宋简体"/>
          <w:color w:val="auto"/>
          <w:sz w:val="44"/>
          <w:szCs w:val="44"/>
          <w:lang w:eastAsia="zh-CN"/>
        </w:rPr>
      </w:pPr>
    </w:p>
    <w:p w14:paraId="699C7B15">
      <w:pPr>
        <w:pStyle w:val="2"/>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方正小标宋简体" w:hAnsi="方正小标宋简体" w:eastAsia="方正小标宋简体" w:cs="方正小标宋简体"/>
          <w:color w:val="auto"/>
          <w:sz w:val="44"/>
          <w:szCs w:val="44"/>
          <w:lang w:eastAsia="zh-CN"/>
        </w:rPr>
      </w:pPr>
    </w:p>
    <w:p w14:paraId="341F4123">
      <w:pPr>
        <w:pStyle w:val="3"/>
        <w:keepNext w:val="0"/>
        <w:keepLines w:val="0"/>
        <w:pageBreakBefore w:val="0"/>
        <w:widowControl w:val="0"/>
        <w:kinsoku/>
        <w:wordWrap/>
        <w:overflowPunct/>
        <w:topLinePunct w:val="0"/>
        <w:autoSpaceDE/>
        <w:autoSpaceDN/>
        <w:bidi w:val="0"/>
        <w:adjustRightInd/>
        <w:snapToGrid/>
        <w:spacing w:after="0" w:afterLines="0"/>
        <w:ind w:left="0" w:leftChars="0"/>
        <w:textAlignment w:val="auto"/>
        <w:rPr>
          <w:rFonts w:hint="eastAsia" w:ascii="方正小标宋简体" w:hAnsi="方正小标宋简体" w:eastAsia="方正小标宋简体" w:cs="方正小标宋简体"/>
          <w:color w:val="auto"/>
          <w:sz w:val="44"/>
          <w:szCs w:val="44"/>
          <w:lang w:eastAsia="zh-CN"/>
        </w:rPr>
      </w:pPr>
    </w:p>
    <w:p w14:paraId="2048E7D4">
      <w:pPr>
        <w:pStyle w:val="7"/>
        <w:keepNext w:val="0"/>
        <w:keepLines w:val="0"/>
        <w:pageBreakBefore w:val="0"/>
        <w:widowControl w:val="0"/>
        <w:kinsoku/>
        <w:wordWrap/>
        <w:overflowPunct/>
        <w:topLinePunct w:val="0"/>
        <w:autoSpaceDE/>
        <w:autoSpaceDN/>
        <w:bidi w:val="0"/>
        <w:adjustRightInd/>
        <w:snapToGrid/>
        <w:ind w:left="0" w:leftChars="0"/>
        <w:textAlignment w:val="auto"/>
        <w:rPr>
          <w:rFonts w:hint="eastAsia" w:ascii="方正小标宋简体" w:hAnsi="方正小标宋简体" w:eastAsia="方正小标宋简体" w:cs="方正小标宋简体"/>
          <w:color w:val="auto"/>
          <w:sz w:val="44"/>
          <w:szCs w:val="44"/>
          <w:lang w:eastAsia="zh-CN"/>
        </w:rPr>
      </w:pPr>
    </w:p>
    <w:p w14:paraId="52AA4A9C">
      <w:pPr>
        <w:rPr>
          <w:rFonts w:hint="eastAsia"/>
          <w:lang w:eastAsia="zh-CN"/>
        </w:rPr>
      </w:pPr>
    </w:p>
    <w:p w14:paraId="41BCA70C">
      <w:pPr>
        <w:pStyle w:val="2"/>
        <w:rPr>
          <w:rFonts w:hint="eastAsia"/>
          <w:lang w:eastAsia="zh-CN"/>
        </w:rPr>
      </w:pPr>
    </w:p>
    <w:p w14:paraId="5BF150C3">
      <w:pPr>
        <w:pStyle w:val="3"/>
        <w:rPr>
          <w:rFonts w:hint="eastAsia"/>
          <w:lang w:eastAsia="zh-CN"/>
        </w:rPr>
      </w:pPr>
    </w:p>
    <w:p w14:paraId="0FAA048A">
      <w:pPr>
        <w:pStyle w:val="3"/>
        <w:rPr>
          <w:rFonts w:hint="eastAsia"/>
          <w:color w:val="auto"/>
          <w:lang w:eastAsia="zh-CN"/>
        </w:rPr>
      </w:pPr>
    </w:p>
    <w:p w14:paraId="06E951A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z w:val="32"/>
          <w:szCs w:val="32"/>
          <w:lang w:eastAsia="zh-CN"/>
        </w:rPr>
        <w:t>墨玉县2022年东片区棚户区建设项目</w:t>
      </w:r>
    </w:p>
    <w:p w14:paraId="488507E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z w:val="32"/>
          <w:szCs w:val="32"/>
          <w:lang w:eastAsia="zh-CN"/>
        </w:rPr>
        <w:t>“9·23”一般触电事故调查组</w:t>
      </w:r>
    </w:p>
    <w:p w14:paraId="4493AC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color w:val="auto"/>
          <w:sz w:val="32"/>
          <w:szCs w:val="32"/>
          <w:lang w:eastAsia="zh-CN"/>
        </w:rPr>
      </w:pPr>
      <w:r>
        <w:rPr>
          <w:rFonts w:hint="eastAsia" w:ascii="方正小标宋简体" w:hAnsi="方正小标宋简体" w:eastAsia="方正小标宋简体" w:cs="方正小标宋简体"/>
          <w:color w:val="auto"/>
          <w:sz w:val="32"/>
          <w:szCs w:val="32"/>
          <w:lang w:eastAsia="zh-CN"/>
        </w:rPr>
        <w:t>202</w:t>
      </w:r>
      <w:r>
        <w:rPr>
          <w:rFonts w:hint="eastAsia" w:ascii="方正小标宋简体" w:hAnsi="方正小标宋简体" w:eastAsia="方正小标宋简体" w:cs="方正小标宋简体"/>
          <w:color w:val="auto"/>
          <w:sz w:val="32"/>
          <w:szCs w:val="32"/>
          <w:lang w:val="en-US" w:eastAsia="zh-CN"/>
        </w:rPr>
        <w:t>3</w:t>
      </w:r>
      <w:r>
        <w:rPr>
          <w:rFonts w:hint="eastAsia" w:ascii="方正小标宋简体" w:hAnsi="方正小标宋简体" w:eastAsia="方正小标宋简体" w:cs="方正小标宋简体"/>
          <w:color w:val="auto"/>
          <w:sz w:val="32"/>
          <w:szCs w:val="32"/>
          <w:lang w:eastAsia="zh-CN"/>
        </w:rPr>
        <w:t>年</w:t>
      </w:r>
      <w:r>
        <w:rPr>
          <w:rFonts w:hint="eastAsia" w:ascii="方正小标宋简体" w:hAnsi="方正小标宋简体" w:eastAsia="方正小标宋简体" w:cs="方正小标宋简体"/>
          <w:color w:val="auto"/>
          <w:sz w:val="32"/>
          <w:szCs w:val="32"/>
          <w:lang w:val="en-US" w:eastAsia="zh-CN"/>
        </w:rPr>
        <w:t>10</w:t>
      </w:r>
      <w:r>
        <w:rPr>
          <w:rFonts w:hint="eastAsia" w:ascii="方正小标宋简体" w:hAnsi="方正小标宋简体" w:eastAsia="方正小标宋简体" w:cs="方正小标宋简体"/>
          <w:color w:val="auto"/>
          <w:sz w:val="32"/>
          <w:szCs w:val="32"/>
          <w:lang w:eastAsia="zh-CN"/>
        </w:rPr>
        <w:t>月</w:t>
      </w:r>
    </w:p>
    <w:p w14:paraId="0B61BE4D">
      <w:pPr>
        <w:rPr>
          <w:rFonts w:hint="eastAsia" w:ascii="方正小标宋简体" w:hAnsi="方正小标宋简体" w:eastAsia="方正小标宋简体" w:cs="方正小标宋简体"/>
          <w:color w:val="auto"/>
          <w:sz w:val="44"/>
          <w:szCs w:val="44"/>
          <w:lang w:eastAsia="zh-CN"/>
        </w:rPr>
      </w:pPr>
      <w:r>
        <w:rPr>
          <w:rFonts w:hint="eastAsia" w:ascii="方正小标宋简体" w:hAnsi="方正小标宋简体" w:eastAsia="方正小标宋简体" w:cs="方正小标宋简体"/>
          <w:color w:val="auto"/>
          <w:sz w:val="44"/>
          <w:szCs w:val="44"/>
          <w:lang w:eastAsia="zh-CN"/>
        </w:rPr>
        <w:br w:type="page"/>
      </w:r>
    </w:p>
    <w:p w14:paraId="3CD409D3">
      <w:pPr>
        <w:pStyle w:val="2"/>
        <w:rPr>
          <w:rFonts w:hint="eastAsia"/>
          <w:lang w:eastAsia="zh-CN"/>
        </w:rPr>
        <w:sectPr>
          <w:pgSz w:w="11906" w:h="16838"/>
          <w:pgMar w:top="2098" w:right="1474" w:bottom="1984" w:left="1587" w:header="851" w:footer="992" w:gutter="0"/>
          <w:pgNumType w:fmt="decimal" w:start="1"/>
          <w:cols w:space="0" w:num="1"/>
          <w:rtlGutter w:val="0"/>
          <w:docGrid w:type="lines" w:linePitch="312" w:charSpace="0"/>
        </w:sectPr>
      </w:pPr>
    </w:p>
    <w:sdt>
      <w:sdtPr>
        <w:rPr>
          <w:rFonts w:hint="eastAsia" w:asciiTheme="minorEastAsia" w:hAnsiTheme="minorEastAsia" w:eastAsiaTheme="minorEastAsia" w:cstheme="minorEastAsia"/>
          <w:b/>
          <w:bCs/>
          <w:kern w:val="2"/>
          <w:sz w:val="32"/>
          <w:szCs w:val="32"/>
          <w:lang w:val="en-US" w:eastAsia="zh-CN" w:bidi="ar-SA"/>
        </w:rPr>
        <w:id w:val="147469657"/>
        <w:docPartObj>
          <w:docPartGallery w:val="Table of Contents"/>
          <w:docPartUnique/>
        </w:docPartObj>
      </w:sdtPr>
      <w:sdtEndPr>
        <w:rPr>
          <w:rFonts w:hint="eastAsia" w:asciiTheme="minorEastAsia" w:hAnsiTheme="minorEastAsia" w:eastAsiaTheme="minorEastAsia" w:cstheme="minorEastAsia"/>
          <w:b/>
          <w:bCs/>
          <w:kern w:val="2"/>
          <w:sz w:val="32"/>
          <w:szCs w:val="32"/>
          <w:lang w:val="en-US" w:eastAsia="zh-CN" w:bidi="ar-SA"/>
        </w:rPr>
      </w:sdtEndPr>
      <w:sdtContent>
        <w:p w14:paraId="13D8948C">
          <w:pPr>
            <w:spacing w:before="0" w:beforeLines="0" w:after="0" w:afterLines="0" w:line="240" w:lineRule="auto"/>
            <w:ind w:left="0" w:leftChars="0" w:right="0" w:rightChars="0" w:firstLine="0" w:firstLineChars="0"/>
            <w:jc w:val="center"/>
            <w:rPr>
              <w:rFonts w:hint="eastAsia" w:asciiTheme="minorEastAsia" w:hAnsiTheme="minorEastAsia" w:eastAsiaTheme="minorEastAsia" w:cstheme="minorEastAsia"/>
              <w:b/>
              <w:bCs/>
              <w:sz w:val="32"/>
              <w:szCs w:val="32"/>
            </w:rPr>
          </w:pPr>
          <w:r>
            <w:rPr>
              <w:rFonts w:hint="eastAsia" w:asciiTheme="minorEastAsia" w:hAnsiTheme="minorEastAsia" w:eastAsiaTheme="minorEastAsia" w:cstheme="minorEastAsia"/>
              <w:b/>
              <w:bCs/>
              <w:sz w:val="32"/>
              <w:szCs w:val="32"/>
            </w:rPr>
            <w:t>目</w:t>
          </w:r>
          <w:r>
            <w:rPr>
              <w:rFonts w:hint="eastAsia" w:asciiTheme="minorEastAsia" w:hAnsiTheme="minorEastAsia" w:eastAsiaTheme="minorEastAsia" w:cstheme="minorEastAsia"/>
              <w:b/>
              <w:bCs/>
              <w:sz w:val="32"/>
              <w:szCs w:val="32"/>
              <w:lang w:val="en-US" w:eastAsia="zh-CN"/>
            </w:rPr>
            <w:t xml:space="preserve"> </w:t>
          </w:r>
          <w:r>
            <w:rPr>
              <w:rFonts w:hint="eastAsia" w:asciiTheme="minorEastAsia" w:hAnsiTheme="minorEastAsia" w:eastAsiaTheme="minorEastAsia" w:cstheme="minorEastAsia"/>
              <w:b/>
              <w:bCs/>
              <w:sz w:val="32"/>
              <w:szCs w:val="32"/>
            </w:rPr>
            <w:t>录</w:t>
          </w:r>
        </w:p>
        <w:p w14:paraId="32F2BB70">
          <w:pPr>
            <w:pStyle w:val="11"/>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pPr>
          <w:r>
            <w:fldChar w:fldCharType="begin"/>
          </w:r>
          <w:r>
            <w:instrText xml:space="preserve">TOC \o "1-3" \h</w:instrText>
          </w:r>
          <w:r>
            <w:fldChar w:fldCharType="separate"/>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_Toc1370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一、事故基本情况</w:t>
          </w:r>
          <w:r>
            <w:rPr>
              <w:rFonts w:hint="eastAsia" w:ascii="黑体" w:hAnsi="黑体" w:eastAsia="黑体" w:cs="黑体"/>
              <w:sz w:val="24"/>
              <w:szCs w:val="24"/>
            </w:rPr>
            <w:tab/>
          </w:r>
          <w:r>
            <w:rPr>
              <w:rFonts w:hint="eastAsia" w:asciiTheme="minorEastAsia" w:hAnsiTheme="minorEastAsia" w:eastAsiaTheme="minorEastAsia" w:cstheme="minorEastAsia"/>
              <w:kern w:val="2"/>
              <w:sz w:val="24"/>
              <w:szCs w:val="24"/>
              <w:lang w:val="en-US" w:eastAsia="zh-CN" w:bidi="ar-SA"/>
            </w:rPr>
            <w:t>2</w:t>
          </w:r>
          <w:r>
            <w:rPr>
              <w:rFonts w:hint="eastAsia" w:ascii="黑体" w:hAnsi="黑体" w:eastAsia="黑体" w:cs="黑体"/>
              <w:sz w:val="24"/>
              <w:szCs w:val="24"/>
            </w:rPr>
            <w:fldChar w:fldCharType="end"/>
          </w:r>
        </w:p>
        <w:p w14:paraId="6ED347D7">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_Toc26856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（一）事故发生单位及相关参建单位基本情况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lang w:val="en-US" w:eastAsia="zh-CN"/>
            </w:rPr>
            <w:t>2</w:t>
          </w:r>
          <w:r>
            <w:rPr>
              <w:rFonts w:hint="eastAsia" w:asciiTheme="minorEastAsia" w:hAnsiTheme="minorEastAsia" w:eastAsiaTheme="minorEastAsia" w:cstheme="minorEastAsia"/>
              <w:sz w:val="24"/>
              <w:szCs w:val="24"/>
            </w:rPr>
            <w:fldChar w:fldCharType="end"/>
          </w:r>
        </w:p>
        <w:p w14:paraId="6CAF19EB">
          <w:pPr>
            <w:pStyle w:val="8"/>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_Toc10046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1.事故发生单位基本情况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_Toc10046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3C583643">
          <w:pPr>
            <w:pStyle w:val="8"/>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_Toc9259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2.相关参建单位</w:t>
          </w:r>
          <w:r>
            <w:rPr>
              <w:rFonts w:hint="eastAsia" w:asciiTheme="minorEastAsia" w:hAnsiTheme="minorEastAsia" w:eastAsiaTheme="minorEastAsia" w:cstheme="minorEastAsia"/>
              <w:bCs/>
              <w:sz w:val="24"/>
              <w:szCs w:val="24"/>
              <w:lang w:val="en-US" w:eastAsia="zh-CN"/>
            </w:rPr>
            <w:t>基本情况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_Toc9259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2</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1D59995A">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_Toc27844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（二）工程基本情况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_Toc27844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4</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31532A01">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_Toc24396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（三）项目分包及安全人员配备情况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_Toc24396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453AF929">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_Toc17266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（四）事故相关人员基本情况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_Toc17266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5</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626B7A00">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_Toc16818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（五）事故发生单位安全管理情况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_Toc16818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6</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6EC4FB71">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_Toc27911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（六）事故发生经过</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_Toc27911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2B6CF74A">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_Toc17978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（七）事故现场情况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_Toc17978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7</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24175F74">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_Toc186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（八）人员伤亡和直接经济损失情况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_Toc186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2BDAA988">
          <w:pPr>
            <w:pStyle w:val="11"/>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_Toc14303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二、事故应急处置及评估情况</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_Toc14303 \h </w:instrText>
          </w:r>
          <w:r>
            <w:rPr>
              <w:rFonts w:hint="eastAsia" w:ascii="黑体" w:hAnsi="黑体" w:eastAsia="黑体" w:cs="黑体"/>
              <w:sz w:val="24"/>
              <w:szCs w:val="24"/>
            </w:rPr>
            <w:fldChar w:fldCharType="separate"/>
          </w:r>
          <w:r>
            <w:rPr>
              <w:rFonts w:hint="eastAsia" w:ascii="黑体" w:hAnsi="黑体" w:eastAsia="黑体" w:cs="黑体"/>
              <w:sz w:val="24"/>
              <w:szCs w:val="24"/>
            </w:rPr>
            <w:t>10</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25BE4AD8">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_Toc29620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（一）事故现场应急处置情况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_Toc29620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25022300">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_Toc7381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（二）医疗救治和善后情况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_Toc7381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2D5703D7">
          <w:pPr>
            <w:pStyle w:val="8"/>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_Toc19010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1.医疗救治情况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_Toc19010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03716A4C">
          <w:pPr>
            <w:pStyle w:val="8"/>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_Toc19323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lang w:val="en-US" w:eastAsia="zh-CN"/>
            </w:rPr>
            <w:t>2.善后情况</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_Toc19323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10</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7E0E1399">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_Toc24451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（三）事故应急处置评估</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_Toc24451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73000AE0">
          <w:pPr>
            <w:pStyle w:val="11"/>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_Toc32708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三、事故原因分析</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_Toc32708 \h </w:instrText>
          </w:r>
          <w:r>
            <w:rPr>
              <w:rFonts w:hint="eastAsia" w:ascii="黑体" w:hAnsi="黑体" w:eastAsia="黑体" w:cs="黑体"/>
              <w:sz w:val="24"/>
              <w:szCs w:val="24"/>
            </w:rPr>
            <w:fldChar w:fldCharType="separate"/>
          </w:r>
          <w:r>
            <w:rPr>
              <w:rFonts w:hint="eastAsia" w:ascii="黑体" w:hAnsi="黑体" w:eastAsia="黑体" w:cs="黑体"/>
              <w:sz w:val="24"/>
              <w:szCs w:val="24"/>
            </w:rPr>
            <w:t>11</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7BE4E376">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_Toc24483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（一）直接原因</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_Toc24483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035C00A6">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HYPERLINK \l _Toc15630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bCs/>
              <w:sz w:val="24"/>
              <w:szCs w:val="24"/>
              <w:lang w:val="en-US" w:eastAsia="zh-CN"/>
            </w:rPr>
            <w:t>（二）间接原因</w:t>
          </w:r>
          <w:r>
            <w:rPr>
              <w:rFonts w:hint="eastAsia" w:asciiTheme="majorEastAsia" w:hAnsiTheme="majorEastAsia" w:eastAsiaTheme="majorEastAsia" w:cstheme="majorEastAsia"/>
              <w:sz w:val="24"/>
              <w:szCs w:val="24"/>
            </w:rPr>
            <w:tab/>
          </w:r>
          <w:r>
            <w:rPr>
              <w:rFonts w:hint="eastAsia" w:asciiTheme="majorEastAsia" w:hAnsiTheme="majorEastAsia" w:eastAsiaTheme="majorEastAsia" w:cstheme="majorEastAsia"/>
              <w:sz w:val="24"/>
              <w:szCs w:val="24"/>
            </w:rPr>
            <w:fldChar w:fldCharType="begin"/>
          </w:r>
          <w:r>
            <w:rPr>
              <w:rFonts w:hint="eastAsia" w:asciiTheme="majorEastAsia" w:hAnsiTheme="majorEastAsia" w:eastAsiaTheme="majorEastAsia" w:cstheme="majorEastAsia"/>
              <w:sz w:val="24"/>
              <w:szCs w:val="24"/>
            </w:rPr>
            <w:instrText xml:space="preserve"> PAGEREF _Toc15630 \h </w:instrText>
          </w:r>
          <w:r>
            <w:rPr>
              <w:rFonts w:hint="eastAsia" w:asciiTheme="majorEastAsia" w:hAnsiTheme="majorEastAsia" w:eastAsiaTheme="majorEastAsia" w:cstheme="majorEastAsia"/>
              <w:sz w:val="24"/>
              <w:szCs w:val="24"/>
            </w:rPr>
            <w:fldChar w:fldCharType="separate"/>
          </w:r>
          <w:r>
            <w:rPr>
              <w:rFonts w:hint="eastAsia" w:asciiTheme="majorEastAsia" w:hAnsiTheme="majorEastAsia" w:eastAsiaTheme="majorEastAsia" w:cstheme="majorEastAsia"/>
              <w:sz w:val="24"/>
              <w:szCs w:val="24"/>
            </w:rPr>
            <w:t>11</w:t>
          </w:r>
          <w:r>
            <w:rPr>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fldChar w:fldCharType="end"/>
          </w:r>
        </w:p>
        <w:p w14:paraId="208A1F46">
          <w:pPr>
            <w:pStyle w:val="11"/>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黑体" w:hAnsi="黑体" w:eastAsia="黑体" w:cs="黑体"/>
              <w:sz w:val="24"/>
              <w:szCs w:val="24"/>
            </w:rPr>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_Toc12519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四、对责任责任单位和有关责任人员责任认定及处理建议</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_Toc12519 \h </w:instrText>
          </w:r>
          <w:r>
            <w:rPr>
              <w:rFonts w:hint="eastAsia" w:ascii="黑体" w:hAnsi="黑体" w:eastAsia="黑体" w:cs="黑体"/>
              <w:sz w:val="24"/>
              <w:szCs w:val="24"/>
            </w:rPr>
            <w:fldChar w:fldCharType="separate"/>
          </w:r>
          <w:r>
            <w:rPr>
              <w:rFonts w:hint="eastAsia" w:ascii="黑体" w:hAnsi="黑体" w:eastAsia="黑体" w:cs="黑体"/>
              <w:sz w:val="24"/>
              <w:szCs w:val="24"/>
            </w:rPr>
            <w:t>11</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532A90E7">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_Toc26491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（一）对事故责任单位责任的认定及处理建议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_Toc26491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11</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345873F0">
          <w:pPr>
            <w:pStyle w:val="12"/>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pP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HYPERLINK \l _Toc10770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bCs/>
              <w:sz w:val="24"/>
              <w:szCs w:val="24"/>
              <w:lang w:val="en-US" w:eastAsia="zh-CN"/>
            </w:rPr>
            <w:t>（二）对事故责任人责任的认定及处理建议</w:t>
          </w:r>
          <w:r>
            <w:rPr>
              <w:rFonts w:hint="eastAsia" w:asciiTheme="minorEastAsia" w:hAnsiTheme="minorEastAsia" w:eastAsiaTheme="minorEastAsia" w:cstheme="minorEastAsia"/>
              <w:sz w:val="24"/>
              <w:szCs w:val="24"/>
            </w:rPr>
            <w:tab/>
          </w:r>
          <w:r>
            <w:rPr>
              <w:rFonts w:hint="eastAsia" w:asciiTheme="minorEastAsia" w:hAnsiTheme="minorEastAsia" w:eastAsiaTheme="minorEastAsia" w:cstheme="minorEastAsia"/>
              <w:sz w:val="24"/>
              <w:szCs w:val="24"/>
            </w:rPr>
            <w:fldChar w:fldCharType="begin"/>
          </w:r>
          <w:r>
            <w:rPr>
              <w:rFonts w:hint="eastAsia" w:asciiTheme="minorEastAsia" w:hAnsiTheme="minorEastAsia" w:eastAsiaTheme="minorEastAsia" w:cstheme="minorEastAsia"/>
              <w:sz w:val="24"/>
              <w:szCs w:val="24"/>
            </w:rPr>
            <w:instrText xml:space="preserve"> PAGEREF _Toc10770 \h </w:instrText>
          </w:r>
          <w:r>
            <w:rPr>
              <w:rFonts w:hint="eastAsia" w:asciiTheme="minorEastAsia" w:hAnsiTheme="minorEastAsia" w:eastAsiaTheme="minorEastAsia" w:cstheme="minorEastAsia"/>
              <w:sz w:val="24"/>
              <w:szCs w:val="24"/>
            </w:rPr>
            <w:fldChar w:fldCharType="separate"/>
          </w:r>
          <w:r>
            <w:rPr>
              <w:rFonts w:hint="eastAsia" w:asciiTheme="minorEastAsia" w:hAnsiTheme="minorEastAsia" w:eastAsiaTheme="minorEastAsia" w:cstheme="minorEastAsia"/>
              <w:sz w:val="24"/>
              <w:szCs w:val="24"/>
            </w:rPr>
            <w:t>13</w:t>
          </w:r>
          <w:r>
            <w:rPr>
              <w:rFonts w:hint="eastAsia" w:asciiTheme="minorEastAsia" w:hAnsiTheme="minorEastAsia" w:eastAsiaTheme="minorEastAsia" w:cstheme="minorEastAsia"/>
              <w:sz w:val="24"/>
              <w:szCs w:val="24"/>
            </w:rPr>
            <w:fldChar w:fldCharType="end"/>
          </w:r>
          <w:r>
            <w:rPr>
              <w:rFonts w:hint="eastAsia" w:asciiTheme="minorEastAsia" w:hAnsiTheme="minorEastAsia" w:eastAsiaTheme="minorEastAsia" w:cstheme="minorEastAsia"/>
              <w:sz w:val="24"/>
              <w:szCs w:val="24"/>
            </w:rPr>
            <w:fldChar w:fldCharType="end"/>
          </w:r>
        </w:p>
        <w:p w14:paraId="56A33D65">
          <w:pPr>
            <w:pStyle w:val="11"/>
            <w:keepNext w:val="0"/>
            <w:keepLines w:val="0"/>
            <w:pageBreakBefore w:val="0"/>
            <w:tabs>
              <w:tab w:val="right" w:leader="dot" w:pos="8845"/>
            </w:tabs>
            <w:kinsoku/>
            <w:wordWrap/>
            <w:overflowPunct/>
            <w:topLinePunct w:val="0"/>
            <w:autoSpaceDE/>
            <w:autoSpaceDN/>
            <w:bidi w:val="0"/>
            <w:adjustRightInd/>
            <w:snapToGrid/>
            <w:spacing w:line="360" w:lineRule="auto"/>
            <w:textAlignment w:val="auto"/>
          </w:pP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HYPERLINK \l _Toc6472 </w:instrText>
          </w:r>
          <w:r>
            <w:rPr>
              <w:rFonts w:hint="eastAsia" w:ascii="黑体" w:hAnsi="黑体" w:eastAsia="黑体" w:cs="黑体"/>
              <w:sz w:val="24"/>
              <w:szCs w:val="24"/>
            </w:rPr>
            <w:fldChar w:fldCharType="separate"/>
          </w:r>
          <w:r>
            <w:rPr>
              <w:rFonts w:hint="eastAsia" w:ascii="黑体" w:hAnsi="黑体" w:eastAsia="黑体" w:cs="黑体"/>
              <w:sz w:val="24"/>
              <w:szCs w:val="24"/>
              <w:lang w:val="en-US" w:eastAsia="zh-CN"/>
            </w:rPr>
            <w:t>五、事故反思和整改措施</w:t>
          </w:r>
          <w:r>
            <w:rPr>
              <w:rFonts w:hint="eastAsia" w:ascii="黑体" w:hAnsi="黑体" w:eastAsia="黑体" w:cs="黑体"/>
              <w:sz w:val="24"/>
              <w:szCs w:val="24"/>
            </w:rPr>
            <w:tab/>
          </w:r>
          <w:r>
            <w:rPr>
              <w:rFonts w:hint="eastAsia" w:ascii="黑体" w:hAnsi="黑体" w:eastAsia="黑体" w:cs="黑体"/>
              <w:sz w:val="24"/>
              <w:szCs w:val="24"/>
            </w:rPr>
            <w:fldChar w:fldCharType="begin"/>
          </w:r>
          <w:r>
            <w:rPr>
              <w:rFonts w:hint="eastAsia" w:ascii="黑体" w:hAnsi="黑体" w:eastAsia="黑体" w:cs="黑体"/>
              <w:sz w:val="24"/>
              <w:szCs w:val="24"/>
            </w:rPr>
            <w:instrText xml:space="preserve"> PAGEREF _Toc6472 \h </w:instrText>
          </w:r>
          <w:r>
            <w:rPr>
              <w:rFonts w:hint="eastAsia" w:ascii="黑体" w:hAnsi="黑体" w:eastAsia="黑体" w:cs="黑体"/>
              <w:sz w:val="24"/>
              <w:szCs w:val="24"/>
            </w:rPr>
            <w:fldChar w:fldCharType="separate"/>
          </w:r>
          <w:r>
            <w:rPr>
              <w:rFonts w:hint="eastAsia" w:ascii="黑体" w:hAnsi="黑体" w:eastAsia="黑体" w:cs="黑体"/>
              <w:sz w:val="24"/>
              <w:szCs w:val="24"/>
            </w:rPr>
            <w:t>15</w:t>
          </w:r>
          <w:r>
            <w:rPr>
              <w:rFonts w:hint="eastAsia" w:ascii="黑体" w:hAnsi="黑体" w:eastAsia="黑体" w:cs="黑体"/>
              <w:sz w:val="24"/>
              <w:szCs w:val="24"/>
            </w:rPr>
            <w:fldChar w:fldCharType="end"/>
          </w:r>
          <w:r>
            <w:rPr>
              <w:rFonts w:hint="eastAsia" w:ascii="黑体" w:hAnsi="黑体" w:eastAsia="黑体" w:cs="黑体"/>
              <w:sz w:val="24"/>
              <w:szCs w:val="24"/>
            </w:rPr>
            <w:fldChar w:fldCharType="end"/>
          </w:r>
        </w:p>
        <w:p w14:paraId="377DFD1A">
          <w:pPr>
            <w:keepNext w:val="0"/>
            <w:keepLines w:val="0"/>
            <w:pageBreakBefore w:val="0"/>
            <w:kinsoku/>
            <w:wordWrap/>
            <w:overflowPunct/>
            <w:topLinePunct w:val="0"/>
            <w:autoSpaceDE/>
            <w:autoSpaceDN/>
            <w:bidi w:val="0"/>
            <w:adjustRightInd/>
            <w:snapToGrid/>
            <w:spacing w:line="360" w:lineRule="auto"/>
            <w:textAlignment w:val="auto"/>
          </w:pPr>
          <w:r>
            <w:fldChar w:fldCharType="end"/>
          </w:r>
        </w:p>
        <w:p w14:paraId="667F2E7D"/>
      </w:sdtContent>
    </w:sdt>
    <w:p w14:paraId="36EB151F">
      <w:pPr>
        <w:rPr>
          <w:rFonts w:hint="eastAsia" w:ascii="方正小标宋简体" w:hAnsi="方正小标宋简体" w:eastAsia="方正小标宋简体" w:cs="方正小标宋简体"/>
          <w:sz w:val="44"/>
          <w:szCs w:val="44"/>
          <w:lang w:eastAsia="zh-CN"/>
        </w:rPr>
        <w:sectPr>
          <w:footerReference r:id="rId3" w:type="default"/>
          <w:pgSz w:w="11906" w:h="16838"/>
          <w:pgMar w:top="2098" w:right="1474" w:bottom="1984" w:left="1587" w:header="851" w:footer="992" w:gutter="0"/>
          <w:pgNumType w:fmt="decimal" w:start="1"/>
          <w:cols w:space="0" w:num="1"/>
          <w:rtlGutter w:val="0"/>
          <w:docGrid w:type="lines" w:linePitch="312" w:charSpace="0"/>
        </w:sectPr>
      </w:pPr>
      <w:r>
        <w:rPr>
          <w:rFonts w:hint="eastAsia" w:ascii="方正小标宋简体" w:hAnsi="方正小标宋简体" w:eastAsia="方正小标宋简体" w:cs="方正小标宋简体"/>
          <w:sz w:val="44"/>
          <w:szCs w:val="44"/>
          <w:lang w:eastAsia="zh-CN"/>
        </w:rPr>
        <w:br w:type="page"/>
      </w:r>
    </w:p>
    <w:p w14:paraId="7520F801">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p>
    <w:p w14:paraId="36D4AF4F">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墨玉县2022年东片区棚户区建设项目</w:t>
      </w:r>
    </w:p>
    <w:p w14:paraId="4832B15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bookmarkStart w:id="0" w:name="_Toc15426_WPSOffice_Level1"/>
      <w:bookmarkStart w:id="1" w:name="_Toc19812_WPSOffice_Level1"/>
      <w:bookmarkStart w:id="2" w:name="_Toc14981_WPSOffice_Level1"/>
      <w:bookmarkStart w:id="3" w:name="_Toc18374_WPSOffice_Level1"/>
      <w:r>
        <w:rPr>
          <w:rFonts w:hint="eastAsia" w:ascii="方正小标宋简体" w:hAnsi="方正小标宋简体" w:eastAsia="方正小标宋简体" w:cs="方正小标宋简体"/>
          <w:sz w:val="44"/>
          <w:szCs w:val="44"/>
          <w:lang w:eastAsia="zh-CN"/>
        </w:rPr>
        <w:t>“9·23”一般触电事故报告</w:t>
      </w:r>
      <w:bookmarkEnd w:id="0"/>
      <w:bookmarkEnd w:id="1"/>
      <w:bookmarkEnd w:id="2"/>
      <w:bookmarkEnd w:id="3"/>
    </w:p>
    <w:p w14:paraId="49C7282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en-US" w:eastAsia="zh-CN"/>
        </w:rPr>
      </w:pPr>
    </w:p>
    <w:p w14:paraId="4BC31AD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2023年9月23日17时许,墨玉县博斯坦街办“和田地区墨玉县2022年东片区棚户区建设项目（EPC设计施工总承包）”施工工地发生一起触电事故，造成1人死亡。</w:t>
      </w:r>
    </w:p>
    <w:p w14:paraId="5E356D1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事故发生后，墨玉县委、县</w:t>
      </w:r>
      <w:bookmarkStart w:id="116" w:name="_GoBack"/>
      <w:bookmarkEnd w:id="116"/>
      <w:r>
        <w:rPr>
          <w:rFonts w:hint="eastAsia" w:ascii="仿宋_GB2312" w:hAnsi="仿宋_GB2312" w:eastAsia="仿宋_GB2312" w:cs="仿宋_GB2312"/>
          <w:sz w:val="32"/>
          <w:szCs w:val="32"/>
          <w:lang w:val="en-US" w:eastAsia="zh-CN"/>
        </w:rPr>
        <w:t>政府高度重视，按照《生产安全事故报告和调查处理条例》（国务院令第493号）、《新疆维吾尔自治区生产安全事故报告和调查处理实施办法》（自治区人民政府令196号）的要求，经县人民政府同意，成立由应急管理局、公安局、住房和城乡建设局等单位组成的事故调查组，展开事故调查处理工作。</w:t>
      </w:r>
    </w:p>
    <w:p w14:paraId="19E63DEA">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事故调查组按照“四不放过”和“科学严谨、依法依规、实事求是、注重实效”的原则,通过现场勘验、调查取证、调阅资料、人员问询等,查明事故经过、原因、人员伤亡情况和直接经济损失,认定事故性质以及事故企业和相关人员的责任，并针对事故暴露出的问题,总结分析事故主要教训,提出防范整改的措施建议。</w:t>
      </w:r>
    </w:p>
    <w:p w14:paraId="3FF7916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lang w:val="en-US" w:eastAsia="zh-CN"/>
        </w:rPr>
      </w:pPr>
      <w:r>
        <w:rPr>
          <w:rFonts w:hint="eastAsia" w:ascii="仿宋_GB2312" w:hAnsi="仿宋_GB2312" w:eastAsia="仿宋_GB2312" w:cs="仿宋_GB2312"/>
          <w:sz w:val="32"/>
          <w:szCs w:val="32"/>
          <w:lang w:val="en-US" w:eastAsia="zh-CN"/>
        </w:rPr>
        <w:t>经调查认定，</w:t>
      </w:r>
      <w:r>
        <w:rPr>
          <w:rFonts w:hint="eastAsia" w:ascii="黑体" w:hAnsi="黑体" w:eastAsia="黑体" w:cs="黑体"/>
          <w:b w:val="0"/>
          <w:bCs w:val="0"/>
          <w:sz w:val="32"/>
          <w:szCs w:val="32"/>
          <w:lang w:val="en-US" w:eastAsia="zh-CN"/>
        </w:rPr>
        <w:t>墨玉县2022年东片区棚户区建设项目“9·23”一般触电事故是一起生产安全责任事故</w:t>
      </w:r>
      <w:r>
        <w:rPr>
          <w:rFonts w:hint="eastAsia" w:ascii="仿宋_GB2312" w:hAnsi="仿宋_GB2312" w:eastAsia="仿宋_GB2312" w:cs="仿宋_GB2312"/>
          <w:sz w:val="32"/>
          <w:szCs w:val="32"/>
          <w:lang w:val="en-US" w:eastAsia="zh-CN"/>
        </w:rPr>
        <w:t>。</w:t>
      </w:r>
    </w:p>
    <w:p w14:paraId="4750AE2B">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lang w:val="en-US" w:eastAsia="zh-CN"/>
        </w:rPr>
      </w:pPr>
      <w:bookmarkStart w:id="4" w:name="_Toc1370"/>
      <w:bookmarkStart w:id="5" w:name="_Toc11821"/>
      <w:bookmarkStart w:id="6" w:name="_Toc17580_WPSOffice_Level1"/>
      <w:r>
        <w:rPr>
          <w:rFonts w:hint="eastAsia"/>
          <w:lang w:val="en-US" w:eastAsia="zh-CN"/>
        </w:rPr>
        <w:t>一、事故基本情况</w:t>
      </w:r>
      <w:bookmarkEnd w:id="4"/>
      <w:bookmarkEnd w:id="5"/>
      <w:bookmarkEnd w:id="6"/>
    </w:p>
    <w:p w14:paraId="1124BC32">
      <w:pPr>
        <w:pStyle w:val="5"/>
        <w:keepNext w:val="0"/>
        <w:keepLines w:val="0"/>
        <w:pageBreakBefore w:val="0"/>
        <w:widowControl w:val="0"/>
        <w:kinsoku/>
        <w:wordWrap/>
        <w:overflowPunct/>
        <w:topLinePunct w:val="0"/>
        <w:autoSpaceDE/>
        <w:autoSpaceDN/>
        <w:bidi w:val="0"/>
        <w:adjustRightInd/>
        <w:snapToGrid/>
        <w:textAlignment w:val="auto"/>
        <w:rPr>
          <w:rFonts w:hint="eastAsia"/>
          <w:b w:val="0"/>
          <w:bCs/>
          <w:lang w:val="en-US" w:eastAsia="zh-CN"/>
        </w:rPr>
      </w:pPr>
      <w:bookmarkStart w:id="7" w:name="_Toc26856"/>
      <w:bookmarkStart w:id="8" w:name="_Toc15426_WPSOffice_Level2"/>
      <w:bookmarkStart w:id="9" w:name="_Toc929"/>
      <w:r>
        <w:rPr>
          <w:rFonts w:hint="eastAsia"/>
          <w:b w:val="0"/>
          <w:bCs/>
          <w:lang w:val="en-US" w:eastAsia="zh-CN"/>
        </w:rPr>
        <w:t>（一）事故发生单位及相关单位概况</w:t>
      </w:r>
      <w:bookmarkEnd w:id="7"/>
      <w:bookmarkEnd w:id="8"/>
      <w:bookmarkEnd w:id="9"/>
      <w:bookmarkStart w:id="10" w:name="_Toc3722"/>
      <w:bookmarkStart w:id="11" w:name="_Toc10046"/>
    </w:p>
    <w:p w14:paraId="5BF93D2F">
      <w:pPr>
        <w:pStyle w:val="5"/>
        <w:keepNext w:val="0"/>
        <w:keepLines w:val="0"/>
        <w:pageBreakBefore w:val="0"/>
        <w:widowControl w:val="0"/>
        <w:kinsoku/>
        <w:wordWrap/>
        <w:overflowPunct/>
        <w:topLinePunct w:val="0"/>
        <w:autoSpaceDE/>
        <w:autoSpaceDN/>
        <w:bidi w:val="0"/>
        <w:adjustRightInd/>
        <w:snapToGrid/>
        <w:textAlignment w:val="auto"/>
        <w:rPr>
          <w:rFonts w:hint="eastAsia" w:ascii="Calibri" w:hAnsi="Calibri" w:eastAsia="仿宋_GB2312" w:cs="Times New Roman"/>
          <w:b/>
          <w:kern w:val="2"/>
          <w:sz w:val="32"/>
          <w:szCs w:val="24"/>
          <w:lang w:val="en-US" w:eastAsia="zh-CN" w:bidi="ar-SA"/>
        </w:rPr>
      </w:pPr>
      <w:r>
        <w:rPr>
          <w:rFonts w:hint="eastAsia" w:ascii="Calibri" w:hAnsi="Calibri" w:eastAsia="仿宋_GB2312" w:cs="Times New Roman"/>
          <w:b/>
          <w:kern w:val="2"/>
          <w:sz w:val="32"/>
          <w:szCs w:val="24"/>
          <w:lang w:val="en-US" w:eastAsia="zh-CN" w:bidi="ar-SA"/>
        </w:rPr>
        <w:t>1.事故发生单位基本情况</w:t>
      </w:r>
      <w:bookmarkEnd w:id="10"/>
      <w:bookmarkEnd w:id="11"/>
    </w:p>
    <w:p w14:paraId="7FBF78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总承包单位：新疆同乐建设工程有限公司，统一社会信用代码：916532005928308592，企业类型：有限责任公司(自然人投资或控股)，法定代表人：李某，注册资本：4100万人民币，实缴资本：4100万人民币，成立日期：2012年4月13日，营业期限：2012年4月13日 至 2042年4月12日，注册地址：新疆和田地区墨玉县斯孜街道富民社区布拉克南路附19号附近</w:t>
      </w:r>
      <w:r>
        <w:rPr>
          <w:rFonts w:hint="eastAsia" w:ascii="仿宋_GB2312" w:hAnsi="仿宋_GB2312" w:eastAsia="仿宋_GB2312" w:cs="仿宋_GB2312"/>
          <w:b w:val="0"/>
          <w:color w:val="auto"/>
          <w:kern w:val="2"/>
          <w:sz w:val="32"/>
          <w:szCs w:val="32"/>
          <w:lang w:val="en-US" w:eastAsia="zh-CN" w:bidi="ar-SA"/>
        </w:rPr>
        <w:t>公司，经营范围：许可项目：建设工程施工。（依法须经批准的项目，经相关部门批准后方可开展经营活动，具体经营项目以相关部门批准文件或许可证件为准）一般项目：工程管理服务。（除依法须经批准的项目外，凭营业执照依法自主开展经营活动）。新疆同乐建设工程有限公司持有《建筑业企业资质证书》，证书编号：D265027925，资质类别及等级：建筑工程施工总承包二级，证书编号：D365026172，资质类别及等级：钢结构工程专业承包三级,市政公用工程施工总承包三级,城市及道路照明工程专业承包三级。持有《安全生产许可证》，证书编号：（新）JZ安许证字[2012]001885，许可范围：建筑施工。</w:t>
      </w:r>
    </w:p>
    <w:p w14:paraId="0271A0B1">
      <w:pPr>
        <w:pStyle w:val="6"/>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eastAsia"/>
          <w:lang w:val="en-US" w:eastAsia="zh-CN"/>
        </w:rPr>
      </w:pPr>
      <w:bookmarkStart w:id="12" w:name="_Toc9259"/>
      <w:bookmarkStart w:id="13" w:name="_Toc8878"/>
      <w:r>
        <w:rPr>
          <w:rFonts w:hint="eastAsia"/>
          <w:lang w:val="en-US" w:eastAsia="zh-CN"/>
        </w:rPr>
        <w:t>2.相关参建单位</w:t>
      </w:r>
      <w:bookmarkEnd w:id="12"/>
      <w:bookmarkEnd w:id="13"/>
      <w:r>
        <w:rPr>
          <w:rFonts w:hint="eastAsia"/>
          <w:lang w:val="en-US" w:eastAsia="zh-CN"/>
        </w:rPr>
        <w:t>基本情况</w:t>
      </w:r>
    </w:p>
    <w:p w14:paraId="10F454E9">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sz w:val="32"/>
          <w:szCs w:val="32"/>
          <w:lang w:val="en-US" w:eastAsia="zh-CN"/>
        </w:rPr>
        <w:t>（1）电力工程分包单位：新疆博格达电气设备制造有限公司，统一社会信用代码：91652301MA779PT75X，企业类型：有限责任公司(自然人投资或控股)，法定代表人：丁某，注册资本：3000万人民币，实缴资本：-，成立日期：2017年2月12日，营业期限：2017年2月12日至无固定期限，注册地址：新疆昌吉回族自治州昌吉市高新技术产业开发区腾飞大道昌吉创业创新示范基地26号厂房，经营范围：许可项目：制造变压器、电线、电缆、配电开关控制设备、电力电子元器件、电器辅件、配电或控制设备的零件;金属结构制造；通信线路和设备的安装；电子工程安装服务；智能化安装工程服务；输配电控制设备制造；管道和设备的安装；架线工程服务；电力输送设施；热力输送管道设施施工活动;销售：变压器、电线电缆、配电开关控制设备、电力电子元器件;其他机械与设备经营租赁；电气设备租赁；电气设备维修（依法须经批准的项目，经相关部门批准后方可开展经营活动）。</w:t>
      </w:r>
    </w:p>
    <w:p w14:paraId="2435EE1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0000FF"/>
          <w:kern w:val="2"/>
          <w:sz w:val="32"/>
          <w:szCs w:val="32"/>
          <w:lang w:val="en-US" w:eastAsia="zh-CN" w:bidi="ar-SA"/>
        </w:rPr>
      </w:pPr>
      <w:r>
        <w:rPr>
          <w:rFonts w:hint="eastAsia" w:ascii="仿宋_GB2312" w:hAnsi="仿宋_GB2312" w:eastAsia="仿宋_GB2312" w:cs="仿宋_GB2312"/>
          <w:color w:val="auto"/>
          <w:sz w:val="32"/>
          <w:szCs w:val="32"/>
          <w:lang w:val="en-US" w:eastAsia="zh-CN"/>
        </w:rPr>
        <w:t>（2）工程监理单位：</w:t>
      </w:r>
      <w:r>
        <w:rPr>
          <w:rFonts w:hint="eastAsia" w:ascii="仿宋_GB2312" w:hAnsi="仿宋_GB2312" w:eastAsia="仿宋_GB2312" w:cs="仿宋_GB2312"/>
          <w:color w:val="auto"/>
          <w:kern w:val="2"/>
          <w:sz w:val="32"/>
          <w:szCs w:val="32"/>
          <w:lang w:val="en-US" w:eastAsia="zh-CN" w:bidi="ar-SA"/>
        </w:rPr>
        <w:t>新疆路智兴项目管理有限责任公司,统一社会信用代码：91650100589319654T，企业类型：有限责任公司(自然人投资或控股)，法定代表人：路某，注册资本：3000万人民币，实缴资本：-，成立日期：2012年02月13日，营业期限：2012年02月13日至无固定期限，注册地址：新疆乌鲁木齐高新区(新市区)河北东路430号上海大厦1栋B1706室，经营范围：一般项目：一般经营项目是：单建式人防工程监理；工程造价咨询业务；招投标代理服务；采购代理服务；工程技术服务（规划管理、勘察、设计、监理除外）；技术服务、技术开发、技术咨询、技术交流、技术转让、技术推广；工程管理服务；机械设备租赁；建筑工程用机械销售；水利相关咨询服务；信息咨询服务（不含许可类信息咨询服务）；信息技术咨询服务；安全咨询服务；档案整理服务；政府采购代理服务。（除依法须经批准的项目外，凭营业执照依法自主开展经营活动），许可经营项目是：建设工程监理；水利工程建设监理；各类工程建设活动。（依法须经批准的项目，经相关部门批准后方可开展经营活动，具体经营项目以相关部门批准文件或许可证件为准）（除依法须经批准的项目外，凭营业执照依法自主开展经营活动）</w:t>
      </w:r>
    </w:p>
    <w:p w14:paraId="2ECC746A">
      <w:pPr>
        <w:pStyle w:val="5"/>
        <w:keepNext w:val="0"/>
        <w:keepLines w:val="0"/>
        <w:pageBreakBefore w:val="0"/>
        <w:widowControl w:val="0"/>
        <w:kinsoku/>
        <w:wordWrap/>
        <w:overflowPunct/>
        <w:topLinePunct w:val="0"/>
        <w:autoSpaceDE/>
        <w:autoSpaceDN/>
        <w:bidi w:val="0"/>
        <w:adjustRightInd/>
        <w:snapToGrid/>
        <w:textAlignment w:val="auto"/>
        <w:rPr>
          <w:rFonts w:hint="eastAsia"/>
          <w:b w:val="0"/>
          <w:bCs/>
          <w:lang w:val="en-US" w:eastAsia="zh-CN"/>
        </w:rPr>
      </w:pPr>
      <w:bookmarkStart w:id="14" w:name="_Toc17580_WPSOffice_Level2"/>
      <w:bookmarkStart w:id="15" w:name="_Toc920"/>
      <w:bookmarkStart w:id="16" w:name="_Toc27_WPSOffice_Level2"/>
      <w:bookmarkStart w:id="17" w:name="_Toc27844"/>
      <w:r>
        <w:rPr>
          <w:rFonts w:hint="eastAsia"/>
          <w:b w:val="0"/>
          <w:bCs/>
          <w:lang w:val="en-US" w:eastAsia="zh-CN"/>
        </w:rPr>
        <w:t>（二）工程基本情况</w:t>
      </w:r>
      <w:bookmarkEnd w:id="14"/>
      <w:bookmarkEnd w:id="15"/>
      <w:bookmarkEnd w:id="16"/>
      <w:bookmarkEnd w:id="17"/>
    </w:p>
    <w:p w14:paraId="33B6A535">
      <w:pPr>
        <w:pStyle w:val="3"/>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发包方：墨玉县</w:t>
      </w:r>
      <w:r>
        <w:rPr>
          <w:rFonts w:hint="eastAsia" w:ascii="仿宋_GB2312" w:hAnsi="仿宋_GB2312" w:eastAsia="仿宋_GB2312" w:cs="仿宋_GB2312"/>
          <w:i w:val="0"/>
          <w:caps w:val="0"/>
          <w:color w:val="auto"/>
          <w:spacing w:val="0"/>
          <w:sz w:val="32"/>
          <w:szCs w:val="32"/>
          <w:shd w:val="clear" w:fill="FFFFFF"/>
          <w:lang w:eastAsia="zh-CN"/>
        </w:rPr>
        <w:t>住房和城乡建设局</w:t>
      </w:r>
    </w:p>
    <w:p w14:paraId="070FD81D">
      <w:pPr>
        <w:pStyle w:val="7"/>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lang w:val="en-US" w:eastAsia="zh-CN"/>
        </w:rPr>
      </w:pPr>
      <w:r>
        <w:rPr>
          <w:rFonts w:hint="eastAsia" w:ascii="仿宋_GB2312" w:hAnsi="仿宋_GB2312" w:eastAsia="仿宋_GB2312" w:cs="仿宋_GB2312"/>
          <w:sz w:val="32"/>
          <w:szCs w:val="32"/>
          <w:lang w:val="en-US" w:eastAsia="zh-CN"/>
        </w:rPr>
        <w:t>承包方：新疆同乐建设工程有限公司（牵头单位），华维设计集团股份有限公司（联合体成员）</w:t>
      </w:r>
    </w:p>
    <w:p w14:paraId="0FD02E70">
      <w:pPr>
        <w:pStyle w:val="3"/>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工程名称：和田地区墨玉县2022年东片区棚户区建设项目（EPC设计施工总承包）</w:t>
      </w:r>
    </w:p>
    <w:p w14:paraId="15B26A64">
      <w:pPr>
        <w:pStyle w:val="7"/>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工程位置：墨玉县博斯坦街办英协海尔社区</w:t>
      </w:r>
    </w:p>
    <w:p w14:paraId="54957CD3">
      <w:pPr>
        <w:pStyle w:val="7"/>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工程内容及规模：新建安置房9栋及附属设施配套，总计1001套，总建筑面积97257.58平方米（地上总建筑面积83584.09平方米，地下总建筑面积为13673.49平方米）及附属配套设施。</w:t>
      </w:r>
    </w:p>
    <w:p w14:paraId="1AF52521">
      <w:pPr>
        <w:pStyle w:val="7"/>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default"/>
          <w:lang w:val="en-US" w:eastAsia="zh-CN"/>
        </w:rPr>
      </w:pPr>
      <w:r>
        <w:rPr>
          <w:rFonts w:hint="eastAsia" w:ascii="仿宋_GB2312" w:hAnsi="仿宋_GB2312" w:eastAsia="仿宋_GB2312" w:cs="仿宋_GB2312"/>
          <w:sz w:val="32"/>
          <w:szCs w:val="32"/>
          <w:lang w:val="en-US" w:eastAsia="zh-CN"/>
        </w:rPr>
        <w:t>工程承包范围：本工程的施工图设计（含施工图设计、施工期问的配合服务）采购供货、施工总承包直接竣工验收及整体移交、质量缺陷责任期内的缺陷修复、后期维护管理等相关工作。</w:t>
      </w:r>
    </w:p>
    <w:p w14:paraId="689BB5A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中标价格：人民币295543569.94元（贰亿玖仟伍佰伍拾万叁仟伍佰陆拾玖元玖角肆分）。</w:t>
      </w:r>
    </w:p>
    <w:p w14:paraId="4DDD8AA8">
      <w:pPr>
        <w:pStyle w:val="5"/>
        <w:keepNext w:val="0"/>
        <w:keepLines w:val="0"/>
        <w:pageBreakBefore w:val="0"/>
        <w:widowControl w:val="0"/>
        <w:kinsoku/>
        <w:wordWrap/>
        <w:overflowPunct/>
        <w:topLinePunct w:val="0"/>
        <w:autoSpaceDE/>
        <w:autoSpaceDN/>
        <w:bidi w:val="0"/>
        <w:adjustRightInd/>
        <w:snapToGrid/>
        <w:textAlignment w:val="auto"/>
        <w:rPr>
          <w:rFonts w:hint="eastAsia"/>
          <w:b w:val="0"/>
          <w:bCs/>
          <w:lang w:val="en-US" w:eastAsia="zh-CN"/>
        </w:rPr>
      </w:pPr>
      <w:bookmarkStart w:id="18" w:name="_Toc24396"/>
      <w:bookmarkStart w:id="19" w:name="_Toc2654_WPSOffice_Level2"/>
      <w:bookmarkStart w:id="20" w:name="_Toc24479_WPSOffice_Level2"/>
      <w:bookmarkStart w:id="21" w:name="_Toc5387"/>
      <w:r>
        <w:rPr>
          <w:rFonts w:hint="eastAsia"/>
          <w:b w:val="0"/>
          <w:bCs/>
          <w:lang w:val="en-US" w:eastAsia="zh-CN"/>
        </w:rPr>
        <w:t>（三）项目分包及安全人员配备情况</w:t>
      </w:r>
      <w:bookmarkEnd w:id="18"/>
      <w:bookmarkEnd w:id="19"/>
      <w:bookmarkEnd w:id="20"/>
      <w:bookmarkEnd w:id="21"/>
    </w:p>
    <w:p w14:paraId="04A0227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2022年8月26日，墨玉县</w:t>
      </w:r>
      <w:r>
        <w:rPr>
          <w:rFonts w:hint="eastAsia" w:ascii="仿宋_GB2312" w:hAnsi="仿宋_GB2312" w:eastAsia="仿宋_GB2312" w:cs="仿宋_GB2312"/>
          <w:i w:val="0"/>
          <w:caps w:val="0"/>
          <w:color w:val="auto"/>
          <w:spacing w:val="0"/>
          <w:sz w:val="32"/>
          <w:szCs w:val="32"/>
          <w:shd w:val="clear" w:fill="FFFFFF"/>
          <w:lang w:eastAsia="zh-CN"/>
        </w:rPr>
        <w:t>住房和城乡建设局与</w:t>
      </w:r>
      <w:r>
        <w:rPr>
          <w:rFonts w:hint="eastAsia" w:ascii="仿宋_GB2312" w:hAnsi="仿宋_GB2312" w:eastAsia="仿宋_GB2312" w:cs="仿宋_GB2312"/>
          <w:sz w:val="32"/>
          <w:szCs w:val="32"/>
          <w:lang w:val="en-US" w:eastAsia="zh-CN"/>
        </w:rPr>
        <w:t>新疆同乐建设工程有限公司（牵头单位）签订和田地区墨玉县2022年东片区棚户区建设项目（EPC设计施工总承包）建设工程施工合同。2022年9月1日,新疆同乐建设工程有限公司安排施工人员进场施工，项目经理为赵丰平，安全</w:t>
      </w:r>
      <w:r>
        <w:rPr>
          <w:rFonts w:hint="eastAsia" w:ascii="仿宋_GB2312" w:hAnsi="仿宋_GB2312" w:eastAsia="仿宋_GB2312" w:cs="仿宋_GB2312"/>
          <w:color w:val="auto"/>
          <w:sz w:val="32"/>
          <w:szCs w:val="32"/>
          <w:lang w:val="en-US" w:eastAsia="zh-CN"/>
        </w:rPr>
        <w:t>生产</w:t>
      </w:r>
      <w:r>
        <w:rPr>
          <w:rFonts w:hint="eastAsia" w:ascii="仿宋_GB2312" w:hAnsi="仿宋_GB2312" w:eastAsia="仿宋_GB2312" w:cs="仿宋_GB2312"/>
          <w:sz w:val="32"/>
          <w:szCs w:val="32"/>
          <w:lang w:val="en-US" w:eastAsia="zh-CN"/>
        </w:rPr>
        <w:t>管理人员为张书杰、张书超。</w:t>
      </w:r>
    </w:p>
    <w:p w14:paraId="7C7212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2023年5月8日，</w:t>
      </w:r>
      <w:r>
        <w:rPr>
          <w:rFonts w:hint="eastAsia" w:ascii="仿宋_GB2312" w:hAnsi="仿宋_GB2312" w:eastAsia="仿宋_GB2312" w:cs="仿宋_GB2312"/>
          <w:sz w:val="32"/>
          <w:szCs w:val="32"/>
          <w:lang w:val="en-US" w:eastAsia="zh-CN"/>
        </w:rPr>
        <w:t>新疆同乐建设工程有限公司与</w:t>
      </w:r>
      <w:r>
        <w:rPr>
          <w:rFonts w:hint="eastAsia" w:ascii="仿宋_GB2312" w:hAnsi="仿宋_GB2312" w:eastAsia="仿宋_GB2312" w:cs="仿宋_GB2312"/>
          <w:color w:val="auto"/>
          <w:sz w:val="32"/>
          <w:szCs w:val="32"/>
          <w:lang w:val="en-US" w:eastAsia="zh-CN"/>
        </w:rPr>
        <w:t>新疆博格达电气设备制造有限公司签订销售安全合同，由新疆博格达电气设备制造有限公司负责墨玉县2022年度东片区棚户区建设项目高低压设备及外网供货及安装。2023年9月18日，新疆博格达电气设备制造有限公司与贺彪（自然人）签订供电工程施工合同，承包范围包括：（1）线路、包工、包料、包机械；（2）高压电缆铺设、包工、包桥架制作、安装；（3）230米10KV高压线路架设，16米高压电缆沟开挖，330米高压电缆铺设致配电室，配电室桥架制作安装，永磁断路器安装，电感组立（博格达公司提供两根电杆，一台永磁断路器，乙方提供6根15米预应电杆，230米10KV线路所需的1*185绝缘导线，架设电路的附属材料、机械，安装永磁断路器的附属材料，人工），新疆博格达电气设备制造有限公司未配备安全生产管理人员。</w:t>
      </w:r>
    </w:p>
    <w:p w14:paraId="19BD6E76">
      <w:pPr>
        <w:pStyle w:val="5"/>
        <w:keepNext w:val="0"/>
        <w:keepLines w:val="0"/>
        <w:pageBreakBefore w:val="0"/>
        <w:widowControl w:val="0"/>
        <w:kinsoku/>
        <w:wordWrap/>
        <w:overflowPunct/>
        <w:topLinePunct w:val="0"/>
        <w:autoSpaceDE/>
        <w:autoSpaceDN/>
        <w:bidi w:val="0"/>
        <w:adjustRightInd/>
        <w:snapToGrid/>
        <w:textAlignment w:val="auto"/>
        <w:rPr>
          <w:rFonts w:hint="eastAsia"/>
          <w:b w:val="0"/>
          <w:bCs/>
          <w:lang w:val="en-US" w:eastAsia="zh-CN"/>
        </w:rPr>
      </w:pPr>
      <w:bookmarkStart w:id="22" w:name="_Toc13559_WPSOffice_Level2"/>
      <w:bookmarkStart w:id="23" w:name="_Toc12269_WPSOffice_Level2"/>
      <w:bookmarkStart w:id="24" w:name="_Toc17266"/>
      <w:bookmarkStart w:id="25" w:name="_Toc24465"/>
      <w:r>
        <w:rPr>
          <w:rFonts w:hint="eastAsia"/>
          <w:b w:val="0"/>
          <w:bCs/>
          <w:lang w:val="en-US" w:eastAsia="zh-CN"/>
        </w:rPr>
        <w:t>（四）事故相关人员基本情况</w:t>
      </w:r>
      <w:bookmarkEnd w:id="22"/>
      <w:bookmarkEnd w:id="23"/>
      <w:bookmarkEnd w:id="24"/>
      <w:bookmarkEnd w:id="25"/>
    </w:p>
    <w:p w14:paraId="40645AE3">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1.买某，男，维吾尔族，中共党员，32岁，担任和田地区墨玉县2022年东片区棚户区建设项目（EPC设计施工总承包）高压线路安装工程现场施工人员，持有登高架设作业和高压电工作业证。</w:t>
      </w:r>
    </w:p>
    <w:p w14:paraId="32BF3676">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2.李某，男，汉族，38岁，中共党员，担任新疆同乐建设工程有限公司法定代表人。</w:t>
      </w:r>
    </w:p>
    <w:p w14:paraId="59DF3B41">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3.丁某，男，回族，45岁，群众，担任新疆博格达电气设备制造有限公司法定代表人。</w:t>
      </w:r>
    </w:p>
    <w:p w14:paraId="586BC769">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4.陈某，男，维吾尔族，34岁，群众，担任和田地区墨玉县2022年东片区棚户区建设项目（EPC设计施工总承包）现场负责人。</w:t>
      </w:r>
    </w:p>
    <w:p w14:paraId="3FAA7EE9">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640" w:firstLineChars="200"/>
        <w:jc w:val="both"/>
        <w:textAlignment w:val="auto"/>
        <w:rPr>
          <w:rFonts w:hint="default" w:ascii="楷体_GB2312" w:hAnsi="楷体_GB2312" w:eastAsia="楷体_GB2312" w:cs="楷体_GB2312"/>
          <w:b w:val="0"/>
          <w:bCs w:val="0"/>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5.贺某，男，汉族，41岁，群众</w:t>
      </w:r>
      <w:r>
        <w:rPr>
          <w:rFonts w:hint="eastAsia" w:ascii="仿宋_GB2312" w:hAnsi="仿宋_GB2312" w:eastAsia="仿宋_GB2312" w:cs="仿宋_GB2312"/>
          <w:i w:val="0"/>
          <w:caps w:val="0"/>
          <w:color w:val="auto"/>
          <w:spacing w:val="0"/>
          <w:kern w:val="0"/>
          <w:sz w:val="32"/>
          <w:szCs w:val="32"/>
          <w:shd w:val="clear" w:fill="FFFFFF"/>
          <w:lang w:val="en-US" w:eastAsia="zh-CN" w:bidi="ar"/>
        </w:rPr>
        <w:t>，担任</w:t>
      </w:r>
      <w:r>
        <w:rPr>
          <w:rFonts w:hint="eastAsia" w:ascii="仿宋_GB2312" w:hAnsi="仿宋_GB2312" w:eastAsia="仿宋_GB2312" w:cs="仿宋_GB2312"/>
          <w:color w:val="auto"/>
          <w:sz w:val="32"/>
          <w:szCs w:val="32"/>
          <w:lang w:val="en-US" w:eastAsia="zh-CN"/>
        </w:rPr>
        <w:t>和田地区墨玉县2022年东片区棚户区建设项目（EPC设计施工总承包）高压线路安装工程现场施工人员负责人。</w:t>
      </w:r>
    </w:p>
    <w:p w14:paraId="735EBD7E">
      <w:pPr>
        <w:pStyle w:val="5"/>
        <w:keepNext w:val="0"/>
        <w:keepLines w:val="0"/>
        <w:pageBreakBefore w:val="0"/>
        <w:widowControl w:val="0"/>
        <w:kinsoku/>
        <w:wordWrap/>
        <w:overflowPunct/>
        <w:topLinePunct w:val="0"/>
        <w:autoSpaceDE/>
        <w:autoSpaceDN/>
        <w:bidi w:val="0"/>
        <w:adjustRightInd/>
        <w:snapToGrid/>
        <w:textAlignment w:val="auto"/>
        <w:rPr>
          <w:rFonts w:hint="eastAsia"/>
          <w:b w:val="0"/>
          <w:bCs/>
          <w:lang w:val="en-US" w:eastAsia="zh-CN"/>
        </w:rPr>
      </w:pPr>
      <w:bookmarkStart w:id="26" w:name="_Toc28920_WPSOffice_Level2"/>
      <w:bookmarkStart w:id="27" w:name="_Toc28942"/>
      <w:bookmarkStart w:id="28" w:name="_Toc24831_WPSOffice_Level2"/>
      <w:bookmarkStart w:id="29" w:name="_Toc16818"/>
      <w:r>
        <w:rPr>
          <w:rFonts w:hint="eastAsia"/>
          <w:b w:val="0"/>
          <w:bCs/>
          <w:lang w:val="en-US" w:eastAsia="zh-CN"/>
        </w:rPr>
        <w:t>（五）事故发生单位安全管理情况</w:t>
      </w:r>
      <w:bookmarkEnd w:id="26"/>
      <w:bookmarkEnd w:id="27"/>
      <w:bookmarkEnd w:id="28"/>
      <w:bookmarkEnd w:id="29"/>
    </w:p>
    <w:p w14:paraId="72E806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项目总承包单位</w:t>
      </w:r>
      <w:r>
        <w:rPr>
          <w:rFonts w:hint="eastAsia" w:ascii="仿宋_GB2312" w:hAnsi="仿宋_GB2312" w:eastAsia="仿宋_GB2312" w:cs="仿宋_GB2312"/>
          <w:sz w:val="32"/>
          <w:szCs w:val="32"/>
          <w:lang w:val="en-US" w:eastAsia="zh-CN"/>
        </w:rPr>
        <w:t>新疆同乐建设工程有限公司</w:t>
      </w:r>
      <w:r>
        <w:rPr>
          <w:rFonts w:hint="eastAsia" w:ascii="仿宋_GB2312" w:hAnsi="仿宋_GB2312" w:eastAsia="仿宋_GB2312" w:cs="仿宋_GB2312"/>
          <w:color w:val="auto"/>
          <w:sz w:val="32"/>
          <w:szCs w:val="32"/>
          <w:lang w:val="en-US" w:eastAsia="zh-CN"/>
        </w:rPr>
        <w:t>已配备现场负责人，制定安全生产责任制。电力工程分包单位新疆博格达电气设备制造有限公司承包的高低压设备及外网供货及安装工程未配备安全生产管理人员，对高压线路安装工程施工人员未开展岗前安全生产教育培训。</w:t>
      </w:r>
    </w:p>
    <w:p w14:paraId="287A6761">
      <w:pPr>
        <w:pStyle w:val="5"/>
        <w:keepNext w:val="0"/>
        <w:keepLines w:val="0"/>
        <w:pageBreakBefore w:val="0"/>
        <w:widowControl w:val="0"/>
        <w:kinsoku/>
        <w:wordWrap/>
        <w:overflowPunct/>
        <w:topLinePunct w:val="0"/>
        <w:autoSpaceDE/>
        <w:autoSpaceDN/>
        <w:bidi w:val="0"/>
        <w:adjustRightInd/>
        <w:snapToGrid/>
        <w:textAlignment w:val="auto"/>
        <w:rPr>
          <w:rFonts w:hint="eastAsia"/>
          <w:b w:val="0"/>
          <w:bCs/>
          <w:lang w:val="en-US" w:eastAsia="zh-CN"/>
        </w:rPr>
      </w:pPr>
      <w:bookmarkStart w:id="30" w:name="_Toc6012_WPSOffice_Level2"/>
      <w:bookmarkStart w:id="31" w:name="_Toc27911"/>
      <w:bookmarkStart w:id="32" w:name="_Toc456_WPSOffice_Level2"/>
      <w:bookmarkStart w:id="33" w:name="_Toc24661"/>
      <w:r>
        <w:rPr>
          <w:rFonts w:hint="eastAsia"/>
          <w:b w:val="0"/>
          <w:bCs/>
          <w:lang w:val="en-US" w:eastAsia="zh-CN"/>
        </w:rPr>
        <w:t>（六）事故发生经过</w:t>
      </w:r>
      <w:bookmarkEnd w:id="30"/>
      <w:bookmarkEnd w:id="31"/>
      <w:bookmarkEnd w:id="32"/>
      <w:bookmarkEnd w:id="33"/>
    </w:p>
    <w:p w14:paraId="306ED890">
      <w:pPr>
        <w:pStyle w:val="7"/>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b w:val="0"/>
          <w:bCs w:val="0"/>
          <w:color w:val="auto"/>
          <w:kern w:val="2"/>
          <w:sz w:val="32"/>
          <w:szCs w:val="32"/>
          <w:lang w:val="en-US" w:eastAsia="zh-CN" w:bidi="ar-SA"/>
        </w:rPr>
        <w:t>2023年9月20日，施工人员负责人“贺某”组织买某（事故中死亡）、阿某、肉某、吾某、阿某某等6人进场施工。</w:t>
      </w:r>
    </w:p>
    <w:p w14:paraId="714459B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2023年9月23日16时50分许，位于墨玉县博斯坦街办英协海尔社区辖区“和田地区墨玉县2022年东片区棚户区建设项目（EPC设计施工总承包）”四号楼地下总配电室，买某、阿某、肉某、吾某、阿某等5人进行高压电路引线接线作业，买某为确认高压电缆接线位置，打开高压配电柜（10KV电源进线1 1G1）时右手触碰到铜片导致触电受伤。现场施工人员发现险情后，立即把触电人员买某送至墨玉县人民医院抢救。</w:t>
      </w:r>
    </w:p>
    <w:p w14:paraId="535F2173">
      <w:pPr>
        <w:pStyle w:val="5"/>
        <w:keepNext w:val="0"/>
        <w:keepLines w:val="0"/>
        <w:pageBreakBefore w:val="0"/>
        <w:widowControl w:val="0"/>
        <w:kinsoku/>
        <w:wordWrap/>
        <w:overflowPunct/>
        <w:topLinePunct w:val="0"/>
        <w:autoSpaceDE/>
        <w:autoSpaceDN/>
        <w:bidi w:val="0"/>
        <w:adjustRightInd/>
        <w:snapToGrid/>
        <w:textAlignment w:val="auto"/>
        <w:rPr>
          <w:rFonts w:hint="eastAsia"/>
          <w:b w:val="0"/>
          <w:bCs/>
          <w:lang w:val="en-US" w:eastAsia="zh-CN"/>
        </w:rPr>
      </w:pPr>
      <w:bookmarkStart w:id="34" w:name="_Toc634"/>
      <w:bookmarkStart w:id="35" w:name="_Toc18971_WPSOffice_Level2"/>
      <w:bookmarkStart w:id="36" w:name="_Toc22029_WPSOffice_Level2"/>
      <w:bookmarkStart w:id="37" w:name="_Toc17978"/>
      <w:r>
        <w:rPr>
          <w:rFonts w:hint="eastAsia"/>
          <w:b w:val="0"/>
          <w:bCs/>
          <w:lang w:val="en-US" w:eastAsia="zh-CN"/>
        </w:rPr>
        <w:t>（七）事故现场情况</w:t>
      </w:r>
      <w:bookmarkEnd w:id="34"/>
      <w:bookmarkEnd w:id="35"/>
      <w:bookmarkEnd w:id="36"/>
      <w:bookmarkEnd w:id="37"/>
    </w:p>
    <w:p w14:paraId="28AF245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1.事故发生地位于墨玉县博斯坦街办英协海尔社区辖区“和田地区墨玉县2022年东片区棚户区建设项目（EPC设计施工总承包）”四号楼地下总配电室，事故发生时有充足的灯光照明，高压开关柜（10KV电源进线1 1G1和10KV电源进线2 2G1）智能操控装置高压带电显示灯闪红灯，事故现场未悬挂当心触电、禁止合闸等安全警示标志。</w:t>
      </w:r>
    </w:p>
    <w:p w14:paraId="0237B18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2.高压配电柜电力来源系新疆博格达电气设备制造有限公司从金石榴（一期）引电至棚户区改造项目总配电室调试验收</w:t>
      </w:r>
      <w:r>
        <w:rPr>
          <w:rFonts w:hint="eastAsia" w:ascii="方正楷体_GBK" w:hAnsi="方正楷体_GBK" w:eastAsia="方正楷体_GBK" w:cs="方正楷体_GBK"/>
          <w:sz w:val="28"/>
          <w:szCs w:val="28"/>
          <w:lang w:val="en-US" w:eastAsia="zh-CN"/>
        </w:rPr>
        <w:t>（</w:t>
      </w:r>
      <w:r>
        <w:rPr>
          <w:rFonts w:hint="eastAsia" w:ascii="仿宋_GB2312" w:hAnsi="仿宋_GB2312" w:eastAsia="仿宋_GB2312" w:cs="仿宋_GB2312"/>
          <w:sz w:val="32"/>
          <w:szCs w:val="32"/>
          <w:lang w:val="en-US" w:eastAsia="zh-CN"/>
        </w:rPr>
        <w:t>2023年8月4日调试结束</w:t>
      </w:r>
      <w:r>
        <w:rPr>
          <w:rFonts w:hint="eastAsia" w:ascii="方正楷体_GBK" w:hAnsi="方正楷体_GBK" w:eastAsia="方正楷体_GBK" w:cs="方正楷体_GBK"/>
          <w:sz w:val="28"/>
          <w:szCs w:val="28"/>
          <w:lang w:val="en-US" w:eastAsia="zh-CN"/>
        </w:rPr>
        <w:t>）</w:t>
      </w:r>
      <w:r>
        <w:rPr>
          <w:rFonts w:hint="eastAsia" w:ascii="仿宋_GB2312" w:hAnsi="仿宋_GB2312" w:eastAsia="仿宋_GB2312" w:cs="仿宋_GB2312"/>
          <w:sz w:val="32"/>
          <w:szCs w:val="32"/>
          <w:lang w:val="en-US" w:eastAsia="zh-CN"/>
        </w:rPr>
        <w:t>，按照临时用电方案预留的高压电源。</w:t>
      </w:r>
    </w:p>
    <w:p w14:paraId="3FD926D2">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lang w:val="en-US" w:eastAsia="zh-CN"/>
        </w:rPr>
      </w:pPr>
      <w:r>
        <w:rPr>
          <w:rFonts w:hint="eastAsia"/>
          <w:lang w:val="en-US" w:eastAsia="zh-CN"/>
        </w:rPr>
        <w:drawing>
          <wp:inline distT="0" distB="0" distL="114300" distR="114300">
            <wp:extent cx="5509895" cy="4714875"/>
            <wp:effectExtent l="0" t="0" r="14605" b="9525"/>
            <wp:docPr id="1" name="图片 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捕获"/>
                    <pic:cNvPicPr>
                      <a:picLocks noChangeAspect="1"/>
                    </pic:cNvPicPr>
                  </pic:nvPicPr>
                  <pic:blipFill>
                    <a:blip r:embed="rId6"/>
                    <a:srcRect r="1587"/>
                    <a:stretch>
                      <a:fillRect/>
                    </a:stretch>
                  </pic:blipFill>
                  <pic:spPr>
                    <a:xfrm>
                      <a:off x="0" y="0"/>
                      <a:ext cx="5509895" cy="4714875"/>
                    </a:xfrm>
                    <a:prstGeom prst="rect">
                      <a:avLst/>
                    </a:prstGeom>
                  </pic:spPr>
                </pic:pic>
              </a:graphicData>
            </a:graphic>
          </wp:inline>
        </w:drawing>
      </w:r>
    </w:p>
    <w:p w14:paraId="7C8C1FB2">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24"/>
          <w:szCs w:val="24"/>
          <w:lang w:val="en-US" w:eastAsia="zh-CN"/>
        </w:rPr>
        <w:t>图一  事故现场平面图</w:t>
      </w:r>
    </w:p>
    <w:p w14:paraId="7D628BC7">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drawing>
          <wp:inline distT="0" distB="0" distL="114300" distR="114300">
            <wp:extent cx="5537835" cy="3258820"/>
            <wp:effectExtent l="0" t="0" r="5715" b="17780"/>
            <wp:docPr id="3" name="图片 3" descr="图片1"/>
            <wp:cNvGraphicFramePr/>
            <a:graphic xmlns:a="http://schemas.openxmlformats.org/drawingml/2006/main">
              <a:graphicData uri="http://schemas.openxmlformats.org/drawingml/2006/picture">
                <pic:pic xmlns:pic="http://schemas.openxmlformats.org/drawingml/2006/picture">
                  <pic:nvPicPr>
                    <pic:cNvPr id="3" name="图片 3" descr="图片1"/>
                    <pic:cNvPicPr/>
                  </pic:nvPicPr>
                  <pic:blipFill>
                    <a:blip r:embed="rId7"/>
                    <a:stretch>
                      <a:fillRect/>
                    </a:stretch>
                  </pic:blipFill>
                  <pic:spPr>
                    <a:xfrm>
                      <a:off x="0" y="0"/>
                      <a:ext cx="5537835" cy="3258820"/>
                    </a:xfrm>
                    <a:prstGeom prst="rect">
                      <a:avLst/>
                    </a:prstGeom>
                  </pic:spPr>
                </pic:pic>
              </a:graphicData>
            </a:graphic>
          </wp:inline>
        </w:drawing>
      </w:r>
    </w:p>
    <w:p w14:paraId="08BD2B1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图二  事故现场配电图片</w:t>
      </w:r>
    </w:p>
    <w:p w14:paraId="3DAC8BEE">
      <w:pPr>
        <w:pStyle w:val="2"/>
        <w:keepLines w:val="0"/>
        <w:pageBreakBefore w:val="0"/>
        <w:widowControl w:val="0"/>
        <w:kinsoku/>
        <w:wordWrap/>
        <w:overflowPunct/>
        <w:topLinePunct w:val="0"/>
        <w:autoSpaceDE/>
        <w:autoSpaceDN/>
        <w:bidi w:val="0"/>
        <w:adjustRightInd/>
        <w:snapToGrid/>
        <w:ind w:left="0" w:leftChars="0" w:firstLine="0" w:firstLineChars="0"/>
        <w:jc w:val="center"/>
        <w:textAlignment w:val="auto"/>
        <w:rPr>
          <w:rFonts w:hint="eastAsia"/>
          <w:lang w:val="en-US" w:eastAsia="zh-CN"/>
        </w:rPr>
      </w:pPr>
      <w:r>
        <w:rPr>
          <w:rFonts w:hint="eastAsia"/>
          <w:lang w:val="en-US" w:eastAsia="zh-CN"/>
        </w:rPr>
        <w:drawing>
          <wp:inline distT="0" distB="0" distL="114300" distR="114300">
            <wp:extent cx="5399405" cy="3800475"/>
            <wp:effectExtent l="0" t="0" r="10795" b="9525"/>
            <wp:docPr id="6" name="图片 6" descr="4U5A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U5A4581"/>
                    <pic:cNvPicPr>
                      <a:picLocks noChangeAspect="1"/>
                    </pic:cNvPicPr>
                  </pic:nvPicPr>
                  <pic:blipFill>
                    <a:blip r:embed="rId8"/>
                    <a:stretch>
                      <a:fillRect/>
                    </a:stretch>
                  </pic:blipFill>
                  <pic:spPr>
                    <a:xfrm>
                      <a:off x="0" y="0"/>
                      <a:ext cx="5399405" cy="3800475"/>
                    </a:xfrm>
                    <a:prstGeom prst="rect">
                      <a:avLst/>
                    </a:prstGeom>
                  </pic:spPr>
                </pic:pic>
              </a:graphicData>
            </a:graphic>
          </wp:inline>
        </w:drawing>
      </w:r>
    </w:p>
    <w:p w14:paraId="3222458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图三  事故现场配电图片</w:t>
      </w:r>
    </w:p>
    <w:p w14:paraId="52C60F03">
      <w:pPr>
        <w:pStyle w:val="5"/>
        <w:keepNext w:val="0"/>
        <w:keepLines w:val="0"/>
        <w:pageBreakBefore w:val="0"/>
        <w:widowControl w:val="0"/>
        <w:kinsoku/>
        <w:wordWrap/>
        <w:overflowPunct/>
        <w:topLinePunct w:val="0"/>
        <w:autoSpaceDE/>
        <w:autoSpaceDN/>
        <w:bidi w:val="0"/>
        <w:adjustRightInd/>
        <w:snapToGrid/>
        <w:textAlignment w:val="auto"/>
        <w:rPr>
          <w:rFonts w:hint="eastAsia"/>
          <w:b w:val="0"/>
          <w:bCs/>
          <w:lang w:val="en-US" w:eastAsia="zh-CN"/>
        </w:rPr>
      </w:pPr>
      <w:bookmarkStart w:id="38" w:name="_Toc22123_WPSOffice_Level2"/>
      <w:bookmarkStart w:id="39" w:name="_Toc186"/>
      <w:bookmarkStart w:id="40" w:name="_Toc31376"/>
      <w:bookmarkStart w:id="41" w:name="_Toc1422_WPSOffice_Level2"/>
      <w:r>
        <w:rPr>
          <w:rFonts w:hint="eastAsia"/>
          <w:b w:val="0"/>
          <w:bCs/>
          <w:lang w:val="en-US" w:eastAsia="zh-CN"/>
        </w:rPr>
        <w:t>（八）人员伤亡和直接经济损失情况</w:t>
      </w:r>
      <w:bookmarkEnd w:id="38"/>
      <w:bookmarkEnd w:id="39"/>
      <w:bookmarkEnd w:id="40"/>
      <w:bookmarkEnd w:id="41"/>
    </w:p>
    <w:p w14:paraId="31A85399">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该起事故造成1人死亡，死者买某，男，维吾尔族，32岁，系新疆博格达电气设备制造有限公司发包工程负责人贺某（自然人）的工人。</w:t>
      </w:r>
    </w:p>
    <w:p w14:paraId="62E6F567">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ind w:leftChars="0"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事故调查组依据《企业职工伤亡事故经济损失统计标准》（GB6721-1986）等标准和规定，核定事故直接经济损失约55万元。</w:t>
      </w:r>
    </w:p>
    <w:p w14:paraId="6778943A">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b w:val="0"/>
          <w:lang w:val="en-US" w:eastAsia="zh-CN"/>
        </w:rPr>
      </w:pPr>
      <w:bookmarkStart w:id="42" w:name="_Toc14303"/>
      <w:bookmarkStart w:id="43" w:name="_Toc24479_WPSOffice_Level1"/>
      <w:bookmarkStart w:id="44" w:name="_Toc2654_WPSOffice_Level1"/>
      <w:bookmarkStart w:id="45" w:name="_Toc11118"/>
      <w:r>
        <w:rPr>
          <w:rFonts w:hint="eastAsia"/>
          <w:b w:val="0"/>
          <w:lang w:val="en-US" w:eastAsia="zh-CN"/>
        </w:rPr>
        <w:t>二、事故应急处置及评估情况</w:t>
      </w:r>
      <w:bookmarkEnd w:id="42"/>
      <w:bookmarkEnd w:id="43"/>
      <w:bookmarkEnd w:id="44"/>
      <w:bookmarkEnd w:id="45"/>
    </w:p>
    <w:p w14:paraId="0B486E22">
      <w:pPr>
        <w:pStyle w:val="5"/>
        <w:keepNext w:val="0"/>
        <w:keepLines w:val="0"/>
        <w:pageBreakBefore w:val="0"/>
        <w:widowControl w:val="0"/>
        <w:kinsoku/>
        <w:wordWrap/>
        <w:overflowPunct/>
        <w:topLinePunct w:val="0"/>
        <w:autoSpaceDE/>
        <w:autoSpaceDN/>
        <w:bidi w:val="0"/>
        <w:adjustRightInd/>
        <w:snapToGrid/>
        <w:textAlignment w:val="auto"/>
        <w:rPr>
          <w:rFonts w:hint="eastAsia"/>
          <w:b w:val="0"/>
          <w:bCs/>
          <w:lang w:val="en-US" w:eastAsia="zh-CN"/>
        </w:rPr>
      </w:pPr>
      <w:bookmarkStart w:id="46" w:name="_Toc28517"/>
      <w:bookmarkStart w:id="47" w:name="_Toc29620"/>
      <w:bookmarkStart w:id="48" w:name="_Toc28876_WPSOffice_Level2"/>
      <w:bookmarkStart w:id="49" w:name="_Toc4520_WPSOffice_Level2"/>
      <w:r>
        <w:rPr>
          <w:rFonts w:hint="eastAsia"/>
          <w:b w:val="0"/>
          <w:bCs/>
          <w:lang w:val="en-US" w:eastAsia="zh-CN"/>
        </w:rPr>
        <w:t>（一）事故现场应急处置情况</w:t>
      </w:r>
      <w:bookmarkEnd w:id="46"/>
      <w:bookmarkEnd w:id="47"/>
      <w:bookmarkEnd w:id="48"/>
      <w:bookmarkEnd w:id="49"/>
    </w:p>
    <w:p w14:paraId="04D305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事故发生后，现场施工人员阿某、肉某、阿某某、吾某第一时间对伤者腿和手臂进行伸缩施救，随后将伤者从地下室运送至地面与贺某会合，乘坐新R61371号牌皮卡车（施工队车辆）送往墨玉县人民医院进行抢救。</w:t>
      </w:r>
    </w:p>
    <w:p w14:paraId="0EB5EFB0">
      <w:pPr>
        <w:pStyle w:val="5"/>
        <w:keepNext w:val="0"/>
        <w:keepLines w:val="0"/>
        <w:pageBreakBefore w:val="0"/>
        <w:widowControl w:val="0"/>
        <w:kinsoku/>
        <w:wordWrap/>
        <w:overflowPunct/>
        <w:topLinePunct w:val="0"/>
        <w:autoSpaceDE/>
        <w:autoSpaceDN/>
        <w:bidi w:val="0"/>
        <w:adjustRightInd/>
        <w:snapToGrid/>
        <w:textAlignment w:val="auto"/>
        <w:rPr>
          <w:rFonts w:hint="eastAsia"/>
          <w:b w:val="0"/>
          <w:bCs/>
          <w:lang w:val="en-US" w:eastAsia="zh-CN"/>
        </w:rPr>
      </w:pPr>
      <w:bookmarkStart w:id="50" w:name="_Toc31230"/>
      <w:bookmarkStart w:id="51" w:name="_Toc6488_WPSOffice_Level2"/>
      <w:bookmarkStart w:id="52" w:name="_Toc7381"/>
      <w:bookmarkStart w:id="53" w:name="_Toc1472_WPSOffice_Level2"/>
      <w:r>
        <w:rPr>
          <w:rFonts w:hint="eastAsia"/>
          <w:b w:val="0"/>
          <w:bCs/>
          <w:lang w:val="en-US" w:eastAsia="zh-CN"/>
        </w:rPr>
        <w:t>（二）医疗救治和善后情况</w:t>
      </w:r>
      <w:bookmarkEnd w:id="50"/>
      <w:bookmarkEnd w:id="51"/>
      <w:bookmarkEnd w:id="52"/>
      <w:bookmarkEnd w:id="53"/>
    </w:p>
    <w:p w14:paraId="50E60FFC">
      <w:pPr>
        <w:pStyle w:val="6"/>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eastAsia" w:ascii="仿宋_GB2312" w:hAnsi="仿宋_GB2312" w:eastAsia="仿宋_GB2312" w:cs="仿宋_GB2312"/>
          <w:lang w:val="en-US" w:eastAsia="zh-CN"/>
        </w:rPr>
      </w:pPr>
      <w:bookmarkStart w:id="54" w:name="_Toc2090"/>
      <w:bookmarkStart w:id="55" w:name="_Toc27_WPSOffice_Level3"/>
      <w:bookmarkStart w:id="56" w:name="_Toc19010"/>
      <w:r>
        <w:rPr>
          <w:rFonts w:hint="eastAsia" w:ascii="仿宋_GB2312" w:hAnsi="仿宋_GB2312" w:eastAsia="仿宋_GB2312" w:cs="仿宋_GB2312"/>
          <w:lang w:val="en-US" w:eastAsia="zh-CN"/>
        </w:rPr>
        <w:t>1.医疗救治情况</w:t>
      </w:r>
      <w:bookmarkEnd w:id="54"/>
      <w:bookmarkEnd w:id="55"/>
      <w:bookmarkEnd w:id="56"/>
    </w:p>
    <w:p w14:paraId="7B5206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b w:val="0"/>
          <w:bCs w:val="0"/>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经与墨玉县人民医院急诊科核实，触电人员</w:t>
      </w:r>
      <w:r>
        <w:rPr>
          <w:rFonts w:hint="eastAsia" w:ascii="仿宋_GB2312" w:hAnsi="仿宋_GB2312" w:eastAsia="仿宋_GB2312" w:cs="仿宋_GB2312"/>
          <w:b w:val="0"/>
          <w:bCs w:val="0"/>
          <w:color w:val="auto"/>
          <w:kern w:val="2"/>
          <w:sz w:val="32"/>
          <w:szCs w:val="32"/>
          <w:lang w:val="en-US" w:eastAsia="zh-CN" w:bidi="ar-SA"/>
        </w:rPr>
        <w:t>买某</w:t>
      </w:r>
      <w:r>
        <w:rPr>
          <w:rFonts w:hint="eastAsia" w:ascii="仿宋_GB2312" w:hAnsi="仿宋_GB2312" w:eastAsia="仿宋_GB2312" w:cs="仿宋_GB2312"/>
          <w:color w:val="auto"/>
          <w:sz w:val="32"/>
          <w:szCs w:val="32"/>
          <w:lang w:val="en-US" w:eastAsia="zh-CN"/>
        </w:rPr>
        <w:t>16时59分送至</w:t>
      </w:r>
      <w:r>
        <w:rPr>
          <w:rFonts w:hint="eastAsia" w:ascii="仿宋_GB2312" w:hAnsi="仿宋_GB2312" w:eastAsia="仿宋_GB2312" w:cs="仿宋_GB2312"/>
          <w:b w:val="0"/>
          <w:bCs w:val="0"/>
          <w:color w:val="auto"/>
          <w:kern w:val="2"/>
          <w:sz w:val="32"/>
          <w:szCs w:val="32"/>
          <w:lang w:val="en-US" w:eastAsia="zh-CN" w:bidi="ar-SA"/>
        </w:rPr>
        <w:t>墨玉县人民医院急诊科，经抢救无效死亡。</w:t>
      </w:r>
    </w:p>
    <w:p w14:paraId="6A7811F6">
      <w:pPr>
        <w:pStyle w:val="6"/>
        <w:keepNext/>
        <w:keepLines/>
        <w:pageBreakBefore w:val="0"/>
        <w:widowControl w:val="0"/>
        <w:kinsoku/>
        <w:wordWrap/>
        <w:overflowPunct/>
        <w:topLinePunct w:val="0"/>
        <w:autoSpaceDE/>
        <w:autoSpaceDN/>
        <w:bidi w:val="0"/>
        <w:adjustRightInd/>
        <w:snapToGrid/>
        <w:spacing w:before="0" w:after="0" w:line="560" w:lineRule="exact"/>
        <w:ind w:firstLine="643" w:firstLineChars="200"/>
        <w:textAlignment w:val="auto"/>
        <w:rPr>
          <w:rFonts w:hint="eastAsia" w:ascii="仿宋_GB2312" w:hAnsi="仿宋_GB2312" w:eastAsia="仿宋_GB2312" w:cs="仿宋_GB2312"/>
          <w:lang w:val="en-US" w:eastAsia="zh-CN"/>
        </w:rPr>
      </w:pPr>
      <w:bookmarkStart w:id="57" w:name="_Toc24479_WPSOffice_Level3"/>
      <w:bookmarkStart w:id="58" w:name="_Toc19323"/>
      <w:bookmarkStart w:id="59" w:name="_Toc32623"/>
      <w:r>
        <w:rPr>
          <w:rFonts w:hint="eastAsia" w:ascii="仿宋_GB2312" w:hAnsi="仿宋_GB2312" w:eastAsia="仿宋_GB2312" w:cs="仿宋_GB2312"/>
          <w:lang w:val="en-US" w:eastAsia="zh-CN"/>
        </w:rPr>
        <w:t>2.善后处理情况</w:t>
      </w:r>
      <w:bookmarkEnd w:id="57"/>
      <w:bookmarkEnd w:id="58"/>
      <w:bookmarkEnd w:id="59"/>
    </w:p>
    <w:p w14:paraId="106AF3F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default"/>
          <w:lang w:val="en-US" w:eastAsia="zh-CN"/>
        </w:rPr>
      </w:pPr>
      <w:r>
        <w:rPr>
          <w:rFonts w:hint="eastAsia" w:ascii="仿宋_GB2312" w:hAnsi="仿宋_GB2312" w:eastAsia="仿宋_GB2312" w:cs="仿宋_GB2312"/>
          <w:b w:val="0"/>
          <w:bCs w:val="0"/>
          <w:color w:val="auto"/>
          <w:kern w:val="2"/>
          <w:sz w:val="32"/>
          <w:szCs w:val="32"/>
          <w:lang w:val="en-US" w:eastAsia="zh-CN" w:bidi="ar-SA"/>
        </w:rPr>
        <w:t>事故发生后，</w:t>
      </w:r>
      <w:r>
        <w:rPr>
          <w:rFonts w:hint="eastAsia" w:ascii="仿宋_GB2312" w:hAnsi="仿宋_GB2312" w:eastAsia="仿宋_GB2312" w:cs="仿宋_GB2312"/>
          <w:sz w:val="32"/>
          <w:szCs w:val="32"/>
          <w:lang w:val="en-US" w:eastAsia="zh-CN"/>
        </w:rPr>
        <w:t>新疆同乐建设工程有限公司</w:t>
      </w:r>
      <w:r>
        <w:rPr>
          <w:rFonts w:hint="eastAsia" w:ascii="仿宋_GB2312" w:hAnsi="仿宋_GB2312" w:eastAsia="仿宋_GB2312" w:cs="仿宋_GB2312"/>
          <w:b w:val="0"/>
          <w:bCs w:val="0"/>
          <w:color w:val="auto"/>
          <w:kern w:val="2"/>
          <w:sz w:val="32"/>
          <w:szCs w:val="32"/>
          <w:lang w:val="en-US" w:eastAsia="zh-CN" w:bidi="ar-SA"/>
        </w:rPr>
        <w:t>安排专人开展事故遇难者家属安抚和赔偿相关事宜。后经双商协商，达成55万元的工亡赔偿。</w:t>
      </w:r>
    </w:p>
    <w:p w14:paraId="049B5156">
      <w:pPr>
        <w:pStyle w:val="5"/>
        <w:keepNext w:val="0"/>
        <w:keepLines w:val="0"/>
        <w:pageBreakBefore w:val="0"/>
        <w:widowControl w:val="0"/>
        <w:kinsoku/>
        <w:wordWrap/>
        <w:overflowPunct/>
        <w:topLinePunct w:val="0"/>
        <w:autoSpaceDE/>
        <w:autoSpaceDN/>
        <w:bidi w:val="0"/>
        <w:adjustRightInd/>
        <w:snapToGrid/>
        <w:textAlignment w:val="auto"/>
        <w:rPr>
          <w:rFonts w:hint="eastAsia"/>
          <w:b w:val="0"/>
          <w:bCs/>
          <w:lang w:val="en-US" w:eastAsia="zh-CN"/>
        </w:rPr>
      </w:pPr>
      <w:bookmarkStart w:id="60" w:name="_Toc24451"/>
      <w:bookmarkStart w:id="61" w:name="_Toc14086_WPSOffice_Level2"/>
      <w:bookmarkStart w:id="62" w:name="_Toc2114_WPSOffice_Level2"/>
      <w:bookmarkStart w:id="63" w:name="_Toc28977"/>
      <w:r>
        <w:rPr>
          <w:rFonts w:hint="eastAsia"/>
          <w:b w:val="0"/>
          <w:bCs/>
          <w:lang w:val="en-US" w:eastAsia="zh-CN"/>
        </w:rPr>
        <w:t>（三）事故应急处置评估</w:t>
      </w:r>
      <w:bookmarkEnd w:id="60"/>
      <w:bookmarkEnd w:id="61"/>
      <w:bookmarkEnd w:id="62"/>
      <w:bookmarkEnd w:id="63"/>
    </w:p>
    <w:p w14:paraId="160B47C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32"/>
          <w:szCs w:val="32"/>
          <w:lang w:val="en-US" w:eastAsia="zh-CN"/>
        </w:rPr>
        <w:t>住房和城乡建设局、公安局、应急管理局等有关单位领导和人员迅速赶赴现场开展现场处置工作，开展现场勘验、检查、收集证据等事故调查。</w:t>
      </w:r>
    </w:p>
    <w:p w14:paraId="2E1CF6B2">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b w:val="0"/>
          <w:lang w:val="en-US" w:eastAsia="zh-CN"/>
        </w:rPr>
      </w:pPr>
      <w:bookmarkStart w:id="64" w:name="_Toc13559_WPSOffice_Level1"/>
      <w:bookmarkStart w:id="65" w:name="_Toc32708"/>
      <w:bookmarkStart w:id="66" w:name="_Toc7784"/>
      <w:bookmarkStart w:id="67" w:name="_Toc12269_WPSOffice_Level1"/>
      <w:r>
        <w:rPr>
          <w:rFonts w:hint="eastAsia"/>
          <w:b w:val="0"/>
          <w:lang w:val="en-US" w:eastAsia="zh-CN"/>
        </w:rPr>
        <w:t>三、事故原因分析</w:t>
      </w:r>
      <w:bookmarkEnd w:id="64"/>
      <w:bookmarkEnd w:id="65"/>
      <w:bookmarkEnd w:id="66"/>
      <w:bookmarkEnd w:id="67"/>
    </w:p>
    <w:p w14:paraId="40409A9E">
      <w:pPr>
        <w:pStyle w:val="5"/>
        <w:keepNext w:val="0"/>
        <w:keepLines w:val="0"/>
        <w:pageBreakBefore w:val="0"/>
        <w:widowControl w:val="0"/>
        <w:kinsoku/>
        <w:wordWrap/>
        <w:overflowPunct/>
        <w:topLinePunct w:val="0"/>
        <w:autoSpaceDE/>
        <w:autoSpaceDN/>
        <w:bidi w:val="0"/>
        <w:adjustRightInd/>
        <w:snapToGrid/>
        <w:textAlignment w:val="auto"/>
        <w:rPr>
          <w:rFonts w:hint="eastAsia"/>
          <w:b w:val="0"/>
          <w:bCs/>
          <w:lang w:val="en-US" w:eastAsia="zh-CN"/>
        </w:rPr>
      </w:pPr>
      <w:bookmarkStart w:id="68" w:name="_Toc21250_WPSOffice_Level2"/>
      <w:bookmarkStart w:id="69" w:name="_Toc13240"/>
      <w:bookmarkStart w:id="70" w:name="_Toc24483"/>
      <w:bookmarkStart w:id="71" w:name="_Toc13886_WPSOffice_Level2"/>
      <w:r>
        <w:rPr>
          <w:rFonts w:hint="eastAsia"/>
          <w:b w:val="0"/>
          <w:bCs/>
          <w:lang w:val="en-US" w:eastAsia="zh-CN"/>
        </w:rPr>
        <w:t>（一）直接原因</w:t>
      </w:r>
      <w:bookmarkEnd w:id="68"/>
      <w:bookmarkEnd w:id="69"/>
      <w:bookmarkEnd w:id="70"/>
      <w:bookmarkEnd w:id="71"/>
    </w:p>
    <w:p w14:paraId="52419771">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施工人员买某涉嫌违反《电业安全工作规程第1部分：热力和机械》（GB26164.1-2010）3.5.3</w:t>
      </w:r>
      <w:r>
        <w:rPr>
          <w:rFonts w:hint="eastAsia" w:ascii="仿宋_GB2312" w:hAnsi="仿宋_GB2312" w:eastAsia="仿宋_GB2312" w:cs="仿宋_GB2312"/>
          <w:color w:val="auto"/>
          <w:sz w:val="32"/>
          <w:szCs w:val="32"/>
          <w:shd w:val="clear" w:color="auto" w:fill="auto"/>
          <w:vertAlign w:val="superscript"/>
          <w:lang w:val="en-US" w:eastAsia="zh-CN"/>
        </w:rPr>
        <w:t>[1]</w:t>
      </w:r>
      <w:r>
        <w:rPr>
          <w:rFonts w:hint="eastAsia" w:ascii="仿宋_GB2312" w:hAnsi="仿宋_GB2312" w:eastAsia="仿宋_GB2312" w:cs="仿宋_GB2312"/>
          <w:color w:val="auto"/>
          <w:sz w:val="32"/>
          <w:szCs w:val="32"/>
          <w:lang w:val="en-US" w:eastAsia="zh-CN"/>
        </w:rPr>
        <w:t>的规定，在施工过程中对配电柜未进行观察和验电，未佩戴绝缘手套和绝缘靴，未采取安全措施的情况下进行线路</w:t>
      </w:r>
      <w:r>
        <w:rPr>
          <w:rFonts w:hint="eastAsia" w:ascii="仿宋_GB2312" w:hAnsi="仿宋_GB2312" w:eastAsia="仿宋_GB2312" w:cs="仿宋_GB2312"/>
          <w:color w:val="auto"/>
          <w:kern w:val="2"/>
          <w:sz w:val="32"/>
          <w:szCs w:val="32"/>
          <w:lang w:val="en-US" w:eastAsia="zh-CN" w:bidi="ar-SA"/>
        </w:rPr>
        <w:t>施工作业，在作业期间右手不慎触碰到配电带电铜片被电击，导致事故发生。</w:t>
      </w:r>
    </w:p>
    <w:p w14:paraId="40A0919F">
      <w:pPr>
        <w:pStyle w:val="5"/>
        <w:keepNext w:val="0"/>
        <w:keepLines w:val="0"/>
        <w:pageBreakBefore w:val="0"/>
        <w:widowControl w:val="0"/>
        <w:kinsoku/>
        <w:wordWrap/>
        <w:overflowPunct/>
        <w:topLinePunct w:val="0"/>
        <w:autoSpaceDE/>
        <w:autoSpaceDN/>
        <w:bidi w:val="0"/>
        <w:adjustRightInd/>
        <w:snapToGrid/>
        <w:textAlignment w:val="auto"/>
        <w:rPr>
          <w:rFonts w:hint="eastAsia"/>
          <w:b w:val="0"/>
          <w:bCs/>
          <w:lang w:val="en-US" w:eastAsia="zh-CN"/>
        </w:rPr>
      </w:pPr>
      <w:bookmarkStart w:id="72" w:name="_Toc5418_WPSOffice_Level2"/>
      <w:bookmarkStart w:id="73" w:name="_Toc28665_WPSOffice_Level2"/>
      <w:bookmarkStart w:id="74" w:name="_Toc15630"/>
      <w:bookmarkStart w:id="75" w:name="_Toc28570"/>
      <w:r>
        <w:rPr>
          <w:rFonts w:hint="eastAsia"/>
          <w:b w:val="0"/>
          <w:bCs/>
          <w:lang w:val="en-US" w:eastAsia="zh-CN"/>
        </w:rPr>
        <w:t>（二）间接原因</w:t>
      </w:r>
      <w:bookmarkEnd w:id="72"/>
      <w:bookmarkEnd w:id="73"/>
      <w:bookmarkEnd w:id="74"/>
      <w:bookmarkEnd w:id="75"/>
    </w:p>
    <w:p w14:paraId="7254A850">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2023年8月4日，新疆博格达电气设备制造有限公司对该总配电室带电试验调试结束后，未设置当心触电、禁止合闸等安全警示标志，在贺彪组织的施工人员进入配电室作业施工时，</w:t>
      </w:r>
      <w:r>
        <w:rPr>
          <w:rFonts w:hint="eastAsia" w:ascii="仿宋_GB2312" w:hAnsi="仿宋_GB2312" w:eastAsia="仿宋_GB2312" w:cs="仿宋_GB2312"/>
          <w:sz w:val="32"/>
          <w:szCs w:val="32"/>
          <w:lang w:val="en-US" w:eastAsia="zh-CN"/>
        </w:rPr>
        <w:t>同乐公司、博格达公司</w:t>
      </w:r>
      <w:r>
        <w:rPr>
          <w:rFonts w:hint="eastAsia" w:ascii="仿宋_GB2312" w:hAnsi="仿宋_GB2312" w:eastAsia="仿宋_GB2312" w:cs="仿宋_GB2312"/>
          <w:color w:val="auto"/>
          <w:kern w:val="2"/>
          <w:sz w:val="32"/>
          <w:szCs w:val="32"/>
          <w:lang w:val="en-US" w:eastAsia="zh-CN" w:bidi="ar-SA"/>
        </w:rPr>
        <w:t>未告知配电柜带电情况，导致事故发生。</w:t>
      </w:r>
    </w:p>
    <w:p w14:paraId="2FD929E1">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b w:val="0"/>
          <w:lang w:val="en-US" w:eastAsia="zh-CN"/>
        </w:rPr>
      </w:pPr>
      <w:bookmarkStart w:id="76" w:name="_Toc12519"/>
      <w:bookmarkStart w:id="77" w:name="_Toc4210"/>
      <w:bookmarkStart w:id="78" w:name="_Toc24831_WPSOffice_Level1"/>
      <w:bookmarkStart w:id="79" w:name="_Toc28920_WPSOffice_Level1"/>
      <w:r>
        <w:rPr>
          <w:rFonts w:hint="eastAsia"/>
          <w:b w:val="0"/>
          <w:lang w:val="en-US" w:eastAsia="zh-CN"/>
        </w:rPr>
        <w:t>四、对责任单位和有关责任人员的责任认定及处理建议</w:t>
      </w:r>
      <w:bookmarkEnd w:id="76"/>
      <w:bookmarkEnd w:id="77"/>
      <w:bookmarkEnd w:id="78"/>
      <w:bookmarkEnd w:id="79"/>
    </w:p>
    <w:p w14:paraId="6FB211B2">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360" w:lineRule="auto"/>
        <w:ind w:left="0" w:leftChars="0" w:firstLine="640" w:firstLineChars="200"/>
        <w:jc w:val="both"/>
        <w:textAlignment w:val="auto"/>
        <w:rPr>
          <w:rFonts w:hint="eastAsia" w:ascii="Arial" w:hAnsi="Arial" w:eastAsia="楷体_GB2312" w:cs="Times New Roman"/>
          <w:b w:val="0"/>
          <w:bCs/>
          <w:kern w:val="2"/>
          <w:sz w:val="32"/>
          <w:szCs w:val="24"/>
          <w:lang w:val="en-US" w:eastAsia="zh-CN" w:bidi="ar-SA"/>
        </w:rPr>
      </w:pPr>
      <w:bookmarkStart w:id="80" w:name="_Toc6309"/>
      <w:bookmarkStart w:id="81" w:name="_Toc26491"/>
      <w:bookmarkStart w:id="82" w:name="_Toc24989_WPSOffice_Level2"/>
      <w:bookmarkStart w:id="83" w:name="_Toc5724_WPSOffice_Level2"/>
      <w:r>
        <w:rPr>
          <w:rFonts w:hint="eastAsia" w:ascii="Arial" w:hAnsi="Arial" w:eastAsia="楷体_GB2312" w:cs="Times New Roman"/>
          <w:b w:val="0"/>
          <w:bCs/>
          <w:kern w:val="2"/>
          <w:sz w:val="32"/>
          <w:szCs w:val="24"/>
          <w:lang w:val="en-US" w:eastAsia="zh-CN" w:bidi="ar-SA"/>
        </w:rPr>
        <w:t>（一）对事故责任单位的责任认定及处理建议</w:t>
      </w:r>
      <w:bookmarkEnd w:id="80"/>
      <w:bookmarkEnd w:id="81"/>
      <w:bookmarkEnd w:id="82"/>
      <w:bookmarkEnd w:id="83"/>
    </w:p>
    <w:p w14:paraId="2FDB6771">
      <w:pPr>
        <w:pStyle w:val="2"/>
        <w:ind w:left="0" w:leftChars="0" w:firstLine="640" w:firstLineChars="200"/>
        <w:rPr>
          <w:rFonts w:hint="default"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1.新疆同乐建设工程有限公司作为项目总承包单位，未依法</w:t>
      </w:r>
      <w:r>
        <w:rPr>
          <w:rFonts w:hint="eastAsia" w:asciiTheme="minorEastAsia" w:hAnsiTheme="minorEastAsia" w:eastAsiaTheme="minorEastAsia" w:cstheme="minorEastAsia"/>
          <w:b w:val="0"/>
          <w:bCs w:val="0"/>
          <w:color w:val="auto"/>
          <w:kern w:val="2"/>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column">
                  <wp:posOffset>-31115</wp:posOffset>
                </wp:positionH>
                <wp:positionV relativeFrom="paragraph">
                  <wp:posOffset>433070</wp:posOffset>
                </wp:positionV>
                <wp:extent cx="1428750" cy="0"/>
                <wp:effectExtent l="0" t="0" r="0" b="0"/>
                <wp:wrapNone/>
                <wp:docPr id="2" name="直接连接符 2"/>
                <wp:cNvGraphicFramePr/>
                <a:graphic xmlns:a="http://schemas.openxmlformats.org/drawingml/2006/main">
                  <a:graphicData uri="http://schemas.microsoft.com/office/word/2010/wordprocessingShape">
                    <wps:wsp>
                      <wps:cNvCnPr/>
                      <wps:spPr>
                        <a:xfrm>
                          <a:off x="1006475" y="8322945"/>
                          <a:ext cx="1428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5pt;margin-top:34.1pt;height:0pt;width:112.5pt;z-index:251662336;mso-width-relative:page;mso-height-relative:page;" filled="f" stroked="t" coordsize="21600,21600" o:gfxdata="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IS39P1gAAAAgBAAAPAAAAAAAAAAEAIAAAACIAAABkcnMvZG93bnJldi54bWxQSwECFAAUAAAA&#10;CACHTuJAucWPFvABAAC9AwAADgAAAAAAAAABACAAAAAlAQAAZHJzL2Uyb0RvYy54bWxQSwUGAAAA&#10;AAYABgBZAQAAhwUAAAAA&#10;">
                <v:fill on="f" focussize="0,0"/>
                <v:stroke weight="0.5pt" color="#000000 [3213]" miterlimit="8" joinstyle="miter"/>
                <v:imagedata o:title=""/>
                <o:lock v:ext="edit" aspectratio="f"/>
              </v:line>
            </w:pict>
          </mc:Fallback>
        </mc:AlternateContent>
      </w:r>
    </w:p>
    <w:p w14:paraId="493D2D5B">
      <w:pPr>
        <w:pStyle w:val="5"/>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heme="minorEastAsia" w:hAnsiTheme="minorEastAsia" w:eastAsiaTheme="minorEastAsia" w:cstheme="minorEastAsia"/>
          <w:b w:val="0"/>
          <w:bCs w:val="0"/>
          <w:color w:val="auto"/>
          <w:kern w:val="2"/>
          <w:sz w:val="18"/>
          <w:szCs w:val="18"/>
          <w:lang w:val="en-US" w:eastAsia="zh-CN" w:bidi="ar-SA"/>
        </w:rPr>
      </w:pPr>
      <w:r>
        <w:rPr>
          <w:rFonts w:hint="eastAsia" w:asciiTheme="minorEastAsia" w:hAnsiTheme="minorEastAsia" w:eastAsiaTheme="minorEastAsia" w:cstheme="minorEastAsia"/>
          <w:b w:val="0"/>
          <w:bCs w:val="0"/>
          <w:color w:val="auto"/>
          <w:kern w:val="2"/>
          <w:sz w:val="18"/>
          <w:szCs w:val="18"/>
          <w:lang w:val="en-US" w:eastAsia="zh-CN" w:bidi="ar-SA"/>
        </w:rPr>
        <w:t>[1] 《电业安全工作规程第1部分：热力和机械》（GB26164.1-2010）3.5.3 不准靠近或接触任何有电设备的带电部分，特殊许可的工作，应执行标准 DL408 电业安全工作规程（发电厂和变电所电气部分）中的有关规定（其中 DL408-1991 第 66 条规定：在全部停电或部分停电的电气设备上工作，必须完成下列措施：一、停电；二验电；三、装设接地线；四悬挂标示牌和装设遮拦）。</w:t>
      </w:r>
    </w:p>
    <w:p w14:paraId="57D5C2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sz w:val="32"/>
          <w:szCs w:val="32"/>
          <w:lang w:val="en-US" w:eastAsia="zh-CN"/>
        </w:rPr>
      </w:pPr>
    </w:p>
    <w:p w14:paraId="56ED14DF">
      <w:pPr>
        <w:pStyle w:val="2"/>
        <w:rPr>
          <w:rFonts w:hint="eastAsia"/>
          <w:lang w:val="en-US" w:eastAsia="zh-CN"/>
        </w:rPr>
      </w:pPr>
    </w:p>
    <w:p w14:paraId="4D9EEF5A">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落实安全生产主体责任。</w:t>
      </w:r>
      <w:r>
        <w:rPr>
          <w:rFonts w:hint="eastAsia" w:ascii="仿宋_GB2312" w:hAnsi="仿宋_GB2312" w:eastAsia="仿宋_GB2312" w:cs="仿宋_GB2312"/>
          <w:b/>
          <w:bCs/>
          <w:color w:val="auto"/>
          <w:sz w:val="32"/>
          <w:szCs w:val="32"/>
          <w:lang w:val="en-US" w:eastAsia="zh-CN"/>
        </w:rPr>
        <w:t>一是违法分包</w:t>
      </w:r>
      <w:r>
        <w:rPr>
          <w:rFonts w:hint="eastAsia" w:ascii="仿宋_GB2312" w:hAnsi="仿宋_GB2312" w:eastAsia="仿宋_GB2312" w:cs="仿宋_GB2312"/>
          <w:color w:val="auto"/>
          <w:sz w:val="32"/>
          <w:szCs w:val="32"/>
          <w:lang w:val="en-US" w:eastAsia="zh-CN"/>
        </w:rPr>
        <w:t>。经调查，新疆博格达电气设备制造有限公司并不具备高压线路安装资质，总承包单位违法将电力工程分包给不具备相应资质的单位；</w:t>
      </w:r>
      <w:r>
        <w:rPr>
          <w:rFonts w:hint="eastAsia" w:ascii="仿宋_GB2312" w:hAnsi="仿宋_GB2312" w:eastAsia="仿宋_GB2312" w:cs="仿宋_GB2312"/>
          <w:b/>
          <w:bCs/>
          <w:color w:val="auto"/>
          <w:sz w:val="32"/>
          <w:szCs w:val="32"/>
          <w:lang w:val="en-US" w:eastAsia="zh-CN"/>
        </w:rPr>
        <w:t>二是安全生产管理和隐患排查不到位</w:t>
      </w:r>
      <w:r>
        <w:rPr>
          <w:rFonts w:hint="eastAsia" w:ascii="仿宋_GB2312" w:hAnsi="仿宋_GB2312" w:eastAsia="仿宋_GB2312" w:cs="仿宋_GB2312"/>
          <w:b w:val="0"/>
          <w:bCs w:val="0"/>
          <w:color w:val="auto"/>
          <w:sz w:val="32"/>
          <w:szCs w:val="32"/>
          <w:lang w:val="en-US" w:eastAsia="zh-CN"/>
        </w:rPr>
        <w:t>。</w:t>
      </w:r>
      <w:r>
        <w:rPr>
          <w:rFonts w:hint="eastAsia" w:ascii="仿宋_GB2312" w:hAnsi="仿宋_GB2312" w:eastAsia="仿宋_GB2312" w:cs="仿宋_GB2312"/>
          <w:color w:val="auto"/>
          <w:sz w:val="32"/>
          <w:szCs w:val="32"/>
          <w:lang w:val="en-US" w:eastAsia="zh-CN"/>
        </w:rPr>
        <w:t>经调查，总承包单位未督促</w:t>
      </w:r>
      <w:r>
        <w:rPr>
          <w:rFonts w:hint="eastAsia" w:ascii="仿宋_GB2312" w:hAnsi="仿宋_GB2312" w:eastAsia="仿宋_GB2312" w:cs="仿宋_GB2312"/>
          <w:b w:val="0"/>
          <w:bCs w:val="0"/>
          <w:color w:val="auto"/>
          <w:sz w:val="32"/>
          <w:szCs w:val="32"/>
          <w:lang w:val="en-US" w:eastAsia="zh-CN"/>
        </w:rPr>
        <w:t>新</w:t>
      </w:r>
      <w:r>
        <w:rPr>
          <w:rFonts w:hint="eastAsia" w:ascii="仿宋_GB2312" w:hAnsi="仿宋_GB2312" w:eastAsia="仿宋_GB2312" w:cs="仿宋_GB2312"/>
          <w:color w:val="auto"/>
          <w:sz w:val="32"/>
          <w:szCs w:val="32"/>
          <w:lang w:val="en-US" w:eastAsia="zh-CN"/>
        </w:rPr>
        <w:t>疆博格达电气设备制造有限公司配备安全生产管理人员，在总配电室带电试验调试结束后，对配电室未设置安全警示标志等问题未及时发现和排查整改。</w:t>
      </w:r>
      <w:r>
        <w:rPr>
          <w:rFonts w:hint="eastAsia" w:ascii="仿宋_GB2312" w:hAnsi="仿宋_GB2312" w:eastAsia="仿宋_GB2312" w:cs="仿宋_GB2312"/>
          <w:b/>
          <w:bCs/>
          <w:color w:val="auto"/>
          <w:sz w:val="32"/>
          <w:szCs w:val="32"/>
          <w:lang w:val="en-US" w:eastAsia="zh-CN"/>
        </w:rPr>
        <w:t>三是安全生产教育和培训不到位。</w:t>
      </w:r>
      <w:r>
        <w:rPr>
          <w:rFonts w:hint="eastAsia" w:ascii="仿宋_GB2312" w:hAnsi="仿宋_GB2312" w:eastAsia="仿宋_GB2312" w:cs="仿宋_GB2312"/>
          <w:color w:val="auto"/>
          <w:sz w:val="32"/>
          <w:szCs w:val="32"/>
          <w:lang w:val="en-US" w:eastAsia="zh-CN"/>
        </w:rPr>
        <w:t>经调查，总承包单位未对买某等施工人员开展安全生产教育培训，未做安全技术交底。</w:t>
      </w:r>
      <w:r>
        <w:rPr>
          <w:rFonts w:hint="eastAsia" w:ascii="仿宋_GB2312" w:hAnsi="仿宋_GB2312" w:eastAsia="仿宋_GB2312" w:cs="仿宋_GB2312"/>
          <w:b/>
          <w:bCs/>
          <w:color w:val="auto"/>
          <w:sz w:val="32"/>
          <w:szCs w:val="32"/>
          <w:lang w:val="en-US" w:eastAsia="zh-CN"/>
        </w:rPr>
        <w:t>四是安全技术交底不到位。</w:t>
      </w:r>
      <w:r>
        <w:rPr>
          <w:rFonts w:hint="eastAsia" w:ascii="仿宋_GB2312" w:hAnsi="仿宋_GB2312" w:eastAsia="仿宋_GB2312" w:cs="仿宋_GB2312"/>
          <w:color w:val="auto"/>
          <w:sz w:val="32"/>
          <w:szCs w:val="32"/>
          <w:lang w:val="en-US" w:eastAsia="zh-CN"/>
        </w:rPr>
        <w:t>经调查，总承包单位未向买某等施工人员告知作业场所存在的危险因素、防范措施以及事故应急措施。综上，新疆同乐建设工程有限公司对本事故负有责任，涉嫌违反《中华人民共和国安全生产法》第二十八条第一款、第四十四条第一款、第四十九条第一款、第四十九条第二款</w:t>
      </w:r>
      <w:r>
        <w:rPr>
          <w:rFonts w:hint="eastAsia" w:ascii="仿宋_GB2312" w:hAnsi="仿宋_GB2312" w:eastAsia="仿宋_GB2312" w:cs="仿宋_GB2312"/>
          <w:color w:val="auto"/>
          <w:sz w:val="32"/>
          <w:szCs w:val="32"/>
          <w:vertAlign w:val="superscript"/>
          <w:lang w:val="en-US" w:eastAsia="zh-CN"/>
        </w:rPr>
        <w:t>[2]</w:t>
      </w:r>
      <w:r>
        <w:rPr>
          <w:rFonts w:hint="eastAsia" w:ascii="仿宋_GB2312" w:hAnsi="仿宋_GB2312" w:eastAsia="仿宋_GB2312" w:cs="仿宋_GB2312"/>
          <w:color w:val="auto"/>
          <w:sz w:val="32"/>
          <w:szCs w:val="32"/>
          <w:lang w:val="en-US" w:eastAsia="zh-CN"/>
        </w:rPr>
        <w:t>之规定，</w:t>
      </w:r>
      <w:r>
        <w:rPr>
          <w:rFonts w:hint="eastAsia" w:ascii="仿宋_GB2312" w:hAnsi="仿宋_GB2312" w:eastAsia="仿宋_GB2312" w:cs="仿宋_GB2312"/>
          <w:color w:val="auto"/>
          <w:kern w:val="2"/>
          <w:sz w:val="32"/>
          <w:szCs w:val="32"/>
          <w:lang w:val="en-US" w:eastAsia="zh-CN" w:bidi="ar-SA"/>
        </w:rPr>
        <w:t>依据《中华人民共</w:t>
      </w:r>
      <w:r>
        <w:rPr>
          <w:rFonts w:hint="eastAsia" w:ascii="仿宋_GB2312" w:hAnsi="仿宋_GB2312" w:eastAsia="仿宋_GB2312" w:cs="仿宋_GB2312"/>
          <w:color w:val="auto"/>
          <w:sz w:val="32"/>
          <w:szCs w:val="32"/>
          <w:lang w:val="en-US" w:eastAsia="zh-CN"/>
        </w:rPr>
        <w:t>和国安全</w:t>
      </w:r>
      <w:r>
        <w:rPr>
          <w:rFonts w:hint="eastAsia" w:ascii="仿宋_GB2312" w:hAnsi="仿宋_GB2312" w:eastAsia="仿宋_GB2312" w:cs="仿宋_GB2312"/>
          <w:strike w:val="0"/>
          <w:dstrike w:val="0"/>
          <w:color w:val="auto"/>
          <w:sz w:val="32"/>
          <w:szCs w:val="32"/>
          <w:lang w:val="en-US" w:eastAsia="zh-CN"/>
        </w:rPr>
        <w:t>生产法》第一百</w:t>
      </w:r>
      <w:r>
        <w:rPr>
          <w:rFonts w:hint="eastAsia" w:ascii="仿宋_GB2312" w:hAnsi="仿宋_GB2312" w:eastAsia="仿宋_GB2312" w:cs="仿宋_GB2312"/>
          <w:color w:val="auto"/>
          <w:sz w:val="32"/>
          <w:szCs w:val="32"/>
          <w:lang w:val="en-US" w:eastAsia="zh-CN"/>
        </w:rPr>
        <w:t>一十四条第一项</w:t>
      </w:r>
      <w:r>
        <w:rPr>
          <w:rFonts w:hint="eastAsia" w:ascii="仿宋_GB2312" w:hAnsi="仿宋_GB2312" w:eastAsia="仿宋_GB2312" w:cs="仿宋_GB2312"/>
          <w:color w:val="auto"/>
          <w:sz w:val="32"/>
          <w:szCs w:val="32"/>
          <w:vertAlign w:val="superscript"/>
          <w:lang w:val="en-US" w:eastAsia="zh-CN"/>
        </w:rPr>
        <w:t>[3]</w:t>
      </w:r>
      <w:r>
        <w:rPr>
          <w:rFonts w:hint="eastAsia" w:ascii="仿宋_GB2312" w:hAnsi="仿宋_GB2312" w:eastAsia="仿宋_GB2312" w:cs="仿宋_GB2312"/>
          <w:color w:val="auto"/>
          <w:sz w:val="32"/>
          <w:szCs w:val="32"/>
          <w:lang w:val="en-US" w:eastAsia="zh-CN"/>
        </w:rPr>
        <w:t>之规定，建议由应急管理局依法处理。</w:t>
      </w:r>
    </w:p>
    <w:p w14:paraId="29CB6A9B">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240" w:lineRule="auto"/>
        <w:ind w:left="0" w:leftChars="0" w:firstLine="0" w:firstLineChars="0"/>
        <w:jc w:val="left"/>
        <w:textAlignment w:val="auto"/>
        <w:rPr>
          <w:rFonts w:hint="eastAsia" w:asciiTheme="minorEastAsia" w:hAnsiTheme="minorEastAsia" w:eastAsiaTheme="minorEastAsia" w:cstheme="minorEastAsia"/>
          <w:b w:val="0"/>
          <w:bCs w:val="0"/>
          <w:color w:val="auto"/>
          <w:sz w:val="18"/>
          <w:szCs w:val="18"/>
          <w:lang w:val="en-US" w:eastAsia="zh-CN"/>
        </w:rPr>
      </w:pPr>
      <w:r>
        <w:rPr>
          <w:sz w:val="18"/>
          <w:szCs w:val="18"/>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89535</wp:posOffset>
                </wp:positionV>
                <wp:extent cx="1428750" cy="0"/>
                <wp:effectExtent l="0" t="0" r="0" b="0"/>
                <wp:wrapNone/>
                <wp:docPr id="4" name="直接连接符 4"/>
                <wp:cNvGraphicFramePr/>
                <a:graphic xmlns:a="http://schemas.openxmlformats.org/drawingml/2006/main">
                  <a:graphicData uri="http://schemas.microsoft.com/office/word/2010/wordprocessingShape">
                    <wps:wsp>
                      <wps:cNvCnPr/>
                      <wps:spPr>
                        <a:xfrm>
                          <a:off x="1006475" y="8322945"/>
                          <a:ext cx="1428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pt;margin-top:7.05pt;height:0pt;width:112.5pt;z-index:251660288;mso-width-relative:page;mso-height-relative:page;" filled="f" stroked="t" coordsize="21600,21600" o:gfxdata="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gA&#10;Ly7SAAAABgEAAA8AAAAAAAAAAQAgAAAAIgAAAGRycy9kb3ducmV2LnhtbFBLAQIUABQAAAAIAIdO&#10;4kAS7jKo8AEAAL0DAAAOAAAAAAAAAAEAIAAAACEBAABkcnMvZTJvRG9jLnhtbFBLBQYAAAAABgAG&#10;AFkBAACDBQAAAAA=&#10;">
                <v:fill on="f" focussize="0,0"/>
                <v:stroke weight="0.5pt" color="#000000 [3213]" miterlimit="8" joinstyle="miter"/>
                <v:imagedata o:title=""/>
                <o:lock v:ext="edit" aspectratio="f"/>
              </v:line>
            </w:pict>
          </mc:Fallback>
        </mc:AlternateContent>
      </w:r>
    </w:p>
    <w:p w14:paraId="022A3721">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240" w:lineRule="auto"/>
        <w:ind w:left="0" w:leftChars="0" w:firstLine="0" w:firstLineChars="0"/>
        <w:jc w:val="left"/>
        <w:textAlignment w:val="auto"/>
        <w:rPr>
          <w:rFonts w:hint="eastAsia" w:asciiTheme="minorEastAsia" w:hAnsiTheme="minorEastAsia" w:eastAsiaTheme="minorEastAsia" w:cstheme="minorEastAsia"/>
          <w:b w:val="0"/>
          <w:bCs w:val="0"/>
          <w:color w:val="auto"/>
          <w:sz w:val="18"/>
          <w:szCs w:val="18"/>
          <w:lang w:val="en-US" w:eastAsia="zh-CN"/>
        </w:rPr>
      </w:pPr>
      <w:r>
        <w:rPr>
          <w:rFonts w:hint="eastAsia" w:asciiTheme="minorEastAsia" w:hAnsiTheme="minorEastAsia" w:eastAsiaTheme="minorEastAsia" w:cstheme="minorEastAsia"/>
          <w:b w:val="0"/>
          <w:bCs w:val="0"/>
          <w:color w:val="auto"/>
          <w:sz w:val="18"/>
          <w:szCs w:val="18"/>
          <w:lang w:val="en-US" w:eastAsia="zh-CN"/>
        </w:rPr>
        <w:t>[2] 《中华人民共和国安全生产法》第二十八条第一款：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第四十四条第一款：生产经营单位应当教育和督促从业人员严格执行本单位的安全生产规章制度和安全操作规程；并向从业人员如实告知作业场所和工作岗位存在的危险因素、防范措施以及事故应急措施。 第四十九条第一款：产经营单位不得将生产经营项目、场所、设备发包或者出租给不具备安全生产条件或者相应资质的单位或者个人。第四十九条第二款：生产经营项目、场所发包或者出租给其他单位的，生产经营单位应当与承包单位、承租单位签订专门的安全生产管理协议，或者在承包合同、租赁合同中约定各自的安全生产管理职责；生产经营单位对承包单位、承租单位的安全生产工作统一协调、管理，定期进行安全检查，发现安全问题的，应当及时督促整改。</w:t>
      </w:r>
    </w:p>
    <w:p w14:paraId="20DD59D6">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240" w:lineRule="auto"/>
        <w:ind w:left="0" w:leftChars="0" w:firstLine="0" w:firstLineChars="0"/>
        <w:jc w:val="left"/>
        <w:textAlignment w:val="auto"/>
        <w:rPr>
          <w:rFonts w:hint="default" w:asciiTheme="minorEastAsia" w:hAnsiTheme="minorEastAsia" w:eastAsiaTheme="minorEastAsia" w:cstheme="minorEastAsia"/>
          <w:b w:val="0"/>
          <w:bCs w:val="0"/>
          <w:color w:val="auto"/>
          <w:sz w:val="18"/>
          <w:szCs w:val="18"/>
          <w:lang w:val="en-US" w:eastAsia="zh-CN"/>
        </w:rPr>
      </w:pPr>
      <w:r>
        <w:rPr>
          <w:rFonts w:hint="eastAsia" w:asciiTheme="minorEastAsia" w:hAnsiTheme="minorEastAsia" w:eastAsiaTheme="minorEastAsia" w:cstheme="minorEastAsia"/>
          <w:b w:val="0"/>
          <w:bCs w:val="0"/>
          <w:color w:val="auto"/>
          <w:sz w:val="18"/>
          <w:szCs w:val="18"/>
          <w:lang w:val="en-US" w:eastAsia="zh-CN"/>
        </w:rPr>
        <w:t>[3] 《中华人民共和国安全生产法》第一百一十四条：发生生产安全事故，对负有责任的生产经营单位除要求其依法承担相应的赔偿等责任外，由应急管理部门依照下列规定处以罚款:（一）发生一般事故的，处三十万元以上一百万元以下的罚款</w:t>
      </w:r>
      <w:r>
        <w:rPr>
          <w:rFonts w:hint="eastAsia" w:asciiTheme="minorEastAsia" w:hAnsiTheme="minorEastAsia" w:eastAsiaTheme="minorEastAsia" w:cstheme="minorEastAsia"/>
          <w:b w:val="0"/>
          <w:bCs w:val="0"/>
          <w:color w:val="auto"/>
          <w:kern w:val="2"/>
          <w:sz w:val="18"/>
          <w:szCs w:val="18"/>
          <w:lang w:val="en-US" w:eastAsia="zh-CN" w:bidi="ar-SA"/>
        </w:rPr>
        <w:t>。</w:t>
      </w:r>
    </w:p>
    <w:p w14:paraId="2467BEB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2.墨玉县住房和城乡建设局作为该项目实施单位及行业监管单位未落实安全生产责任，对该项目安全工作的监督履职不到位。</w:t>
      </w:r>
      <w:r>
        <w:rPr>
          <w:rFonts w:hint="eastAsia" w:ascii="仿宋_GB2312" w:hAnsi="仿宋_GB2312" w:eastAsia="仿宋_GB2312" w:cs="仿宋_GB2312"/>
          <w:color w:val="auto"/>
          <w:sz w:val="32"/>
          <w:szCs w:val="32"/>
          <w:lang w:val="en-US" w:eastAsia="zh-CN"/>
        </w:rPr>
        <w:t>涉嫌违反</w:t>
      </w:r>
      <w:r>
        <w:rPr>
          <w:rFonts w:hint="eastAsia" w:ascii="仿宋_GB2312" w:hAnsi="仿宋_GB2312" w:eastAsia="仿宋_GB2312" w:cs="仿宋_GB2312"/>
          <w:color w:val="auto"/>
          <w:kern w:val="2"/>
          <w:sz w:val="32"/>
          <w:szCs w:val="32"/>
          <w:lang w:val="en-US" w:eastAsia="zh-CN" w:bidi="ar-SA"/>
        </w:rPr>
        <w:t>自治区实施《地方党政领导干部安全生产责任制规定》细则第五条（一）、第十五条（一）</w:t>
      </w:r>
      <w:r>
        <w:rPr>
          <w:rFonts w:hint="eastAsia" w:ascii="仿宋_GB2312" w:hAnsi="仿宋_GB2312" w:eastAsia="仿宋_GB2312" w:cs="仿宋_GB2312"/>
          <w:color w:val="auto"/>
          <w:sz w:val="32"/>
          <w:szCs w:val="32"/>
          <w:vertAlign w:val="superscript"/>
          <w:lang w:val="en-US" w:eastAsia="zh-CN"/>
        </w:rPr>
        <w:t>[4]</w:t>
      </w:r>
      <w:r>
        <w:rPr>
          <w:rFonts w:hint="eastAsia" w:ascii="仿宋_GB2312" w:hAnsi="仿宋_GB2312" w:eastAsia="仿宋_GB2312" w:cs="仿宋_GB2312"/>
          <w:color w:val="auto"/>
          <w:kern w:val="2"/>
          <w:sz w:val="32"/>
          <w:szCs w:val="32"/>
          <w:lang w:val="en-US" w:eastAsia="zh-CN" w:bidi="ar-SA"/>
        </w:rPr>
        <w:t>之规定，依据自治区实施《地方党政领导干部安全生产责任制规定》细则第七十五第二款</w:t>
      </w:r>
      <w:r>
        <w:rPr>
          <w:rFonts w:hint="eastAsia" w:ascii="仿宋_GB2312" w:hAnsi="仿宋_GB2312" w:eastAsia="仿宋_GB2312" w:cs="仿宋_GB2312"/>
          <w:color w:val="auto"/>
          <w:sz w:val="32"/>
          <w:szCs w:val="32"/>
          <w:vertAlign w:val="superscript"/>
          <w:lang w:val="en-US" w:eastAsia="zh-CN"/>
        </w:rPr>
        <w:t>[5]</w:t>
      </w:r>
      <w:r>
        <w:rPr>
          <w:rFonts w:hint="eastAsia" w:ascii="仿宋_GB2312" w:hAnsi="仿宋_GB2312" w:eastAsia="仿宋_GB2312" w:cs="仿宋_GB2312"/>
          <w:color w:val="auto"/>
          <w:kern w:val="2"/>
          <w:sz w:val="32"/>
          <w:szCs w:val="32"/>
          <w:lang w:val="en-US" w:eastAsia="zh-CN" w:bidi="ar-SA"/>
        </w:rPr>
        <w:t>之规定，建议住房和城乡建设局予以通报。</w:t>
      </w:r>
    </w:p>
    <w:p w14:paraId="28CB62C3">
      <w:pPr>
        <w:pStyle w:val="5"/>
        <w:keepNext w:val="0"/>
        <w:keepLines w:val="0"/>
        <w:pageBreakBefore w:val="0"/>
        <w:widowControl w:val="0"/>
        <w:kinsoku/>
        <w:wordWrap/>
        <w:overflowPunct/>
        <w:topLinePunct w:val="0"/>
        <w:autoSpaceDE/>
        <w:autoSpaceDN/>
        <w:bidi w:val="0"/>
        <w:adjustRightInd/>
        <w:snapToGrid/>
        <w:spacing w:beforeLines="0" w:afterLines="0" w:line="560" w:lineRule="exact"/>
        <w:textAlignment w:val="auto"/>
        <w:rPr>
          <w:rFonts w:hint="eastAsia"/>
          <w:b w:val="0"/>
          <w:bCs/>
          <w:lang w:val="en-US" w:eastAsia="zh-CN"/>
        </w:rPr>
      </w:pPr>
      <w:bookmarkStart w:id="84" w:name="_Toc3216_WPSOffice_Level2"/>
      <w:bookmarkStart w:id="85" w:name="_Toc10770"/>
      <w:bookmarkStart w:id="86" w:name="_Toc974_WPSOffice_Level2"/>
      <w:bookmarkStart w:id="87" w:name="_Toc18249"/>
      <w:r>
        <w:rPr>
          <w:rFonts w:hint="eastAsia"/>
          <w:b w:val="0"/>
          <w:bCs/>
          <w:lang w:val="en-US" w:eastAsia="zh-CN"/>
        </w:rPr>
        <w:t>（二）对事故责任人的责任认定及处理建议</w:t>
      </w:r>
      <w:bookmarkEnd w:id="84"/>
      <w:bookmarkEnd w:id="85"/>
      <w:bookmarkEnd w:id="86"/>
      <w:bookmarkEnd w:id="87"/>
    </w:p>
    <w:p w14:paraId="6B0C563A">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仿宋_GB2312" w:hAnsi="宋体" w:eastAsia="仿宋_GB2312" w:cs="仿宋_GB2312"/>
          <w:kern w:val="0"/>
          <w:sz w:val="32"/>
          <w:szCs w:val="32"/>
          <w:shd w:val="clear" w:color="auto" w:fill="FFFFFF"/>
          <w:lang w:val="en-US" w:eastAsia="zh-CN" w:bidi="ar"/>
        </w:rPr>
      </w:pPr>
      <w:r>
        <w:rPr>
          <w:rFonts w:hint="eastAsia" w:ascii="楷体_GB2312" w:hAnsi="楷体_GB2312" w:eastAsia="楷体_GB2312" w:cs="楷体_GB2312"/>
          <w:color w:val="auto"/>
          <w:kern w:val="2"/>
          <w:sz w:val="32"/>
          <w:szCs w:val="32"/>
          <w:lang w:val="en-US" w:eastAsia="zh-CN" w:bidi="ar-SA"/>
        </w:rPr>
        <w:t>1.</w:t>
      </w:r>
      <w:r>
        <w:rPr>
          <w:rFonts w:hint="eastAsia" w:ascii="仿宋_GB2312" w:hAnsi="宋体" w:eastAsia="仿宋_GB2312" w:cs="仿宋_GB2312"/>
          <w:kern w:val="0"/>
          <w:sz w:val="32"/>
          <w:szCs w:val="32"/>
          <w:shd w:val="clear" w:color="auto" w:fill="FFFFFF"/>
          <w:lang w:val="en-US" w:eastAsia="zh-CN" w:bidi="ar"/>
        </w:rPr>
        <w:t>买某，对配电柜是否带电未进行验电、指示灯未进行检查的情况下，从事引线接线作业，对事故的发生负有直接责任。</w:t>
      </w:r>
      <w:r>
        <w:rPr>
          <w:rFonts w:hint="eastAsia" w:ascii="仿宋_GB2312" w:hAnsi="仿宋_GB2312" w:eastAsia="仿宋_GB2312" w:cs="仿宋_GB2312"/>
          <w:color w:val="auto"/>
          <w:kern w:val="2"/>
          <w:sz w:val="32"/>
          <w:szCs w:val="32"/>
          <w:lang w:val="en-US" w:eastAsia="zh-CN" w:bidi="ar-SA"/>
        </w:rPr>
        <w:t>因在事故中死亡，不予追究责任。</w:t>
      </w:r>
    </w:p>
    <w:p w14:paraId="23B28F42">
      <w:pPr>
        <w:pStyle w:val="2"/>
        <w:keepNext w:val="0"/>
        <w:keepLines w:val="0"/>
        <w:pageBreakBefore w:val="0"/>
        <w:widowControl w:val="0"/>
        <w:numPr>
          <w:ilvl w:val="0"/>
          <w:numId w:val="0"/>
        </w:numPr>
        <w:kinsoku/>
        <w:wordWrap/>
        <w:overflowPunct/>
        <w:topLinePunct w:val="0"/>
        <w:autoSpaceDE/>
        <w:autoSpaceDN/>
        <w:bidi w:val="0"/>
        <w:adjustRightInd/>
        <w:snapToGrid/>
        <w:spacing w:after="0" w:afterLines="0" w:line="560" w:lineRule="exact"/>
        <w:ind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宋体" w:eastAsia="仿宋_GB2312" w:cs="仿宋_GB2312"/>
          <w:color w:val="auto"/>
          <w:kern w:val="0"/>
          <w:sz w:val="32"/>
          <w:szCs w:val="32"/>
          <w:shd w:val="clear" w:color="auto" w:fill="FFFFFF"/>
          <w:lang w:val="en-US" w:eastAsia="zh-CN" w:bidi="ar"/>
        </w:rPr>
        <w:t>2.李某，新</w:t>
      </w:r>
      <w:r>
        <w:rPr>
          <w:rFonts w:hint="eastAsia" w:ascii="仿宋_GB2312" w:hAnsi="宋体" w:eastAsia="仿宋_GB2312" w:cs="仿宋_GB2312"/>
          <w:kern w:val="0"/>
          <w:sz w:val="32"/>
          <w:szCs w:val="32"/>
          <w:shd w:val="clear" w:color="auto" w:fill="FFFFFF"/>
          <w:lang w:val="en-US" w:eastAsia="zh-CN" w:bidi="ar"/>
        </w:rPr>
        <w:t>疆同乐建设工程有限公司法定代表人，未督促、检查高压线路安装工</w:t>
      </w:r>
      <w:r>
        <w:rPr>
          <w:rFonts w:hint="eastAsia" w:ascii="仿宋_GB2312" w:hAnsi="宋体" w:eastAsia="仿宋_GB2312" w:cs="仿宋_GB2312"/>
          <w:color w:val="auto"/>
          <w:kern w:val="0"/>
          <w:sz w:val="32"/>
          <w:szCs w:val="32"/>
          <w:shd w:val="clear" w:color="auto" w:fill="FFFFFF"/>
          <w:lang w:val="en-US" w:eastAsia="zh-CN" w:bidi="ar"/>
        </w:rPr>
        <w:t>程的安全生产</w:t>
      </w:r>
      <w:r>
        <w:rPr>
          <w:rFonts w:hint="eastAsia" w:ascii="仿宋_GB2312" w:hAnsi="宋体" w:eastAsia="仿宋_GB2312" w:cs="仿宋_GB2312"/>
          <w:kern w:val="0"/>
          <w:sz w:val="32"/>
          <w:szCs w:val="32"/>
          <w:shd w:val="clear" w:color="auto" w:fill="FFFFFF"/>
          <w:lang w:val="en-US" w:eastAsia="zh-CN" w:bidi="ar"/>
        </w:rPr>
        <w:t>工作，未及时消除安全生产事故隐患；未组织实施生产安全事故应急救援预案。对事故的发生负有领导责任，</w:t>
      </w:r>
      <w:r>
        <w:rPr>
          <w:rFonts w:hint="eastAsia" w:ascii="仿宋_GB2312" w:hAnsi="仿宋_GB2312" w:eastAsia="仿宋_GB2312" w:cs="仿宋_GB2312"/>
          <w:color w:val="auto"/>
          <w:sz w:val="32"/>
          <w:szCs w:val="32"/>
          <w:lang w:val="en-US" w:eastAsia="zh-CN"/>
        </w:rPr>
        <w:t>涉嫌违反</w:t>
      </w:r>
      <w:r>
        <w:rPr>
          <w:rFonts w:hint="eastAsia" w:ascii="仿宋_GB2312" w:hAnsi="仿宋_GB2312" w:eastAsia="仿宋_GB2312" w:cs="仿宋_GB2312"/>
          <w:color w:val="auto"/>
          <w:kern w:val="2"/>
          <w:sz w:val="32"/>
          <w:szCs w:val="32"/>
          <w:lang w:val="en-US" w:eastAsia="zh-CN" w:bidi="ar-SA"/>
        </w:rPr>
        <w:t>《中华人民共和国安全生产法》第二十一条第五项、第二十一条第六项</w:t>
      </w:r>
      <w:r>
        <w:rPr>
          <w:rFonts w:hint="eastAsia" w:ascii="仿宋_GB2312" w:hAnsi="仿宋_GB2312" w:eastAsia="仿宋_GB2312" w:cs="仿宋_GB2312"/>
          <w:color w:val="auto"/>
          <w:sz w:val="32"/>
          <w:szCs w:val="32"/>
          <w:vertAlign w:val="superscript"/>
          <w:lang w:val="en-US" w:eastAsia="zh-CN"/>
        </w:rPr>
        <w:t>[6]</w:t>
      </w:r>
      <w:r>
        <w:rPr>
          <w:rFonts w:hint="eastAsia" w:ascii="仿宋_GB2312" w:hAnsi="仿宋_GB2312" w:eastAsia="仿宋_GB2312" w:cs="仿宋_GB2312"/>
          <w:color w:val="auto"/>
          <w:kern w:val="2"/>
          <w:sz w:val="32"/>
          <w:szCs w:val="32"/>
          <w:lang w:val="en-US" w:eastAsia="zh-CN" w:bidi="ar-SA"/>
        </w:rPr>
        <w:t>之规定，依据《中华人民共和国安全生产法》第九十五条第一项</w:t>
      </w:r>
      <w:r>
        <w:rPr>
          <w:rFonts w:hint="eastAsia" w:ascii="仿宋_GB2312" w:hAnsi="仿宋_GB2312" w:eastAsia="仿宋_GB2312" w:cs="仿宋_GB2312"/>
          <w:color w:val="auto"/>
          <w:sz w:val="32"/>
          <w:szCs w:val="32"/>
          <w:vertAlign w:val="superscript"/>
          <w:lang w:val="en-US" w:eastAsia="zh-CN"/>
        </w:rPr>
        <w:t>[7]</w:t>
      </w:r>
      <w:r>
        <w:rPr>
          <w:rFonts w:hint="eastAsia" w:ascii="仿宋_GB2312" w:hAnsi="仿宋_GB2312" w:eastAsia="仿宋_GB2312" w:cs="仿宋_GB2312"/>
          <w:color w:val="auto"/>
          <w:kern w:val="2"/>
          <w:sz w:val="32"/>
          <w:szCs w:val="32"/>
          <w:lang w:val="en-US" w:eastAsia="zh-CN" w:bidi="ar-SA"/>
        </w:rPr>
        <w:t>之规定，建议由应急管理局依法处理。</w:t>
      </w:r>
    </w:p>
    <w:p w14:paraId="58928CBC">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heme="minorEastAsia" w:hAnsiTheme="minorEastAsia" w:eastAsiaTheme="minorEastAsia" w:cstheme="minorEastAsia"/>
          <w:b w:val="0"/>
          <w:bCs w:val="0"/>
          <w:color w:val="auto"/>
          <w:sz w:val="18"/>
          <w:szCs w:val="18"/>
          <w:lang w:val="en-US" w:eastAsia="zh-CN"/>
        </w:rPr>
      </w:pPr>
    </w:p>
    <w:p w14:paraId="5592F781">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heme="minorEastAsia" w:hAnsiTheme="minorEastAsia" w:eastAsiaTheme="minorEastAsia" w:cstheme="minorEastAsia"/>
          <w:b w:val="0"/>
          <w:bCs w:val="0"/>
          <w:color w:val="auto"/>
          <w:sz w:val="18"/>
          <w:szCs w:val="18"/>
          <w:lang w:val="en-US" w:eastAsia="zh-CN"/>
        </w:rPr>
      </w:pPr>
      <w:r>
        <w:rPr>
          <w:sz w:val="18"/>
          <w:szCs w:val="18"/>
        </w:rPr>
        <mc:AlternateContent>
          <mc:Choice Requires="wps">
            <w:drawing>
              <wp:anchor distT="0" distB="0" distL="114300" distR="114300" simplePos="0" relativeHeight="251663360" behindDoc="0" locked="0" layoutInCell="1" allowOverlap="1">
                <wp:simplePos x="0" y="0"/>
                <wp:positionH relativeFrom="column">
                  <wp:posOffset>-10795</wp:posOffset>
                </wp:positionH>
                <wp:positionV relativeFrom="paragraph">
                  <wp:posOffset>4445</wp:posOffset>
                </wp:positionV>
                <wp:extent cx="1428750"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1428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85pt;margin-top:0.35pt;height:0pt;width:112.5pt;z-index:251663360;mso-width-relative:page;mso-height-relative:page;" filled="f" stroked="t" coordsize="21600,21600" o:gfxdata="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O1dA7LTAAAABAEAAA8AAAAA&#10;AAAAAQAgAAAAIgAAAGRycy9kb3ducmV2LnhtbFBLAQIUABQAAAAIAIdO4kA4RSnA4AEAALEDAAAO&#10;AAAAAAAAAAEAIAAAACIBAABkcnMvZTJvRG9jLnhtbFBLBQYAAAAABgAGAFkBAAB0BQAAAAA=&#10;">
                <v:fill on="f" focussize="0,0"/>
                <v:stroke weight="0.5pt" color="#000000 [3213]" miterlimit="8" joinstyle="miter"/>
                <v:imagedata o:title=""/>
                <o:lock v:ext="edit" aspectratio="f"/>
              </v:line>
            </w:pict>
          </mc:Fallback>
        </mc:AlternateContent>
      </w:r>
    </w:p>
    <w:p w14:paraId="635A3B94">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heme="minorEastAsia" w:hAnsiTheme="minorEastAsia" w:eastAsiaTheme="minorEastAsia" w:cstheme="minorEastAsia"/>
          <w:b w:val="0"/>
          <w:bCs w:val="0"/>
          <w:color w:val="auto"/>
          <w:sz w:val="18"/>
          <w:szCs w:val="18"/>
          <w:lang w:val="en-US" w:eastAsia="zh-CN"/>
        </w:rPr>
      </w:pPr>
      <w:r>
        <w:rPr>
          <w:rFonts w:hint="eastAsia" w:asciiTheme="minorEastAsia" w:hAnsiTheme="minorEastAsia" w:eastAsiaTheme="minorEastAsia" w:cstheme="minorEastAsia"/>
          <w:b w:val="0"/>
          <w:bCs w:val="0"/>
          <w:color w:val="auto"/>
          <w:sz w:val="18"/>
          <w:szCs w:val="18"/>
          <w:lang w:val="en-US" w:eastAsia="zh-CN"/>
        </w:rPr>
        <w:t>[4]  自治区实施《地方党政领导干部安全生产责任制规定》细则第五条 各级党委主要负责人安全生产职责主要包括：（一）认真贯彻执行党中央、国务院以及上级党委关于安全生产的决策部署和指示精神，安全生产方针政策、法律法规。第十五条：县级以上各级政府主要负责人的安全生产职责主要包括：（一）认真贯彻落实党中央、国务院以及上级党委和政府、本级党委关于安全生产工作的决策部署和指示精神，安全生产方针政策、法律法规，在权限内依法组织起草安全生产法规草案、制定安全生产政府规章和规范性文件。</w:t>
      </w:r>
    </w:p>
    <w:p w14:paraId="5A0BC3C6">
      <w:pPr>
        <w:pStyle w:val="7"/>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Calibri" w:hAnsi="Calibri" w:eastAsia="宋体" w:cs="Times New Roman"/>
          <w:kern w:val="2"/>
          <w:sz w:val="21"/>
          <w:szCs w:val="24"/>
          <w:lang w:val="en-US" w:eastAsia="zh-CN" w:bidi="ar-SA"/>
        </w:rPr>
      </w:pPr>
      <w:r>
        <w:rPr>
          <w:rFonts w:hint="eastAsia" w:asciiTheme="minorEastAsia" w:hAnsiTheme="minorEastAsia" w:eastAsiaTheme="minorEastAsia" w:cstheme="minorEastAsia"/>
          <w:b w:val="0"/>
          <w:bCs w:val="0"/>
          <w:color w:val="auto"/>
          <w:sz w:val="18"/>
          <w:szCs w:val="18"/>
          <w:lang w:val="en-US" w:eastAsia="zh-CN"/>
        </w:rPr>
        <w:t>[5]</w:t>
      </w:r>
      <w:r>
        <w:rPr>
          <w:rFonts w:hint="eastAsia" w:asciiTheme="minorEastAsia" w:hAnsiTheme="minorEastAsia" w:eastAsiaTheme="minorEastAsia" w:cstheme="minorEastAsia"/>
          <w:b w:val="0"/>
          <w:bCs w:val="0"/>
          <w:color w:val="auto"/>
          <w:kern w:val="2"/>
          <w:sz w:val="18"/>
          <w:szCs w:val="18"/>
          <w:lang w:val="en-US" w:eastAsia="zh-CN" w:bidi="ar-SA"/>
        </w:rPr>
        <w:t xml:space="preserve"> 自治区实施《地方党政领导干部安全生产责任制规定》第七十五条第二款：对存在本细则第七十四条情形的部门（单位），应当予以通报。</w:t>
      </w:r>
    </w:p>
    <w:p w14:paraId="3A88FA1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color w:val="auto"/>
          <w:sz w:val="32"/>
          <w:szCs w:val="32"/>
          <w:lang w:val="en-US" w:eastAsia="zh-CN"/>
        </w:rPr>
      </w:pPr>
      <w:r>
        <w:rPr>
          <w:rFonts w:hint="eastAsia" w:ascii="仿宋_GB2312" w:hAnsi="宋体" w:eastAsia="仿宋_GB2312" w:cs="仿宋_GB2312"/>
          <w:kern w:val="0"/>
          <w:sz w:val="32"/>
          <w:szCs w:val="32"/>
          <w:shd w:val="clear" w:color="auto" w:fill="FFFFFF"/>
          <w:lang w:val="en-US" w:eastAsia="zh-CN" w:bidi="ar"/>
        </w:rPr>
        <w:t>3.丁某，新疆博</w:t>
      </w:r>
      <w:r>
        <w:rPr>
          <w:rFonts w:hint="eastAsia" w:ascii="仿宋_GB2312" w:hAnsi="宋体" w:eastAsia="仿宋_GB2312" w:cs="仿宋_GB2312"/>
          <w:color w:val="auto"/>
          <w:kern w:val="0"/>
          <w:sz w:val="32"/>
          <w:szCs w:val="32"/>
          <w:shd w:val="clear" w:color="auto" w:fill="FFFFFF"/>
          <w:lang w:val="en-US" w:eastAsia="zh-CN" w:bidi="ar"/>
        </w:rPr>
        <w:t>格达电气设备制造有限公司法定代表人</w:t>
      </w:r>
      <w:r>
        <w:rPr>
          <w:rFonts w:hint="eastAsia" w:ascii="仿宋_GB2312" w:hAnsi="仿宋_GB2312" w:eastAsia="仿宋_GB2312" w:cs="仿宋_GB2312"/>
          <w:color w:val="auto"/>
          <w:sz w:val="32"/>
          <w:szCs w:val="32"/>
          <w:lang w:val="en-US" w:eastAsia="zh-CN"/>
        </w:rPr>
        <w:t>，未组织对买某等施工人员的安全生产教育和培训；未督</w:t>
      </w:r>
      <w:r>
        <w:rPr>
          <w:rFonts w:hint="eastAsia" w:ascii="仿宋_GB2312" w:hAnsi="宋体" w:eastAsia="仿宋_GB2312" w:cs="仿宋_GB2312"/>
          <w:color w:val="auto"/>
          <w:kern w:val="0"/>
          <w:sz w:val="32"/>
          <w:szCs w:val="32"/>
          <w:shd w:val="clear" w:color="auto" w:fill="FFFFFF"/>
          <w:lang w:val="en-US" w:eastAsia="zh-CN" w:bidi="ar"/>
        </w:rPr>
        <w:t>促、检查高压线路安装工程的安全生产工作，未及时消除安全生产事故隐患</w:t>
      </w:r>
      <w:r>
        <w:rPr>
          <w:rFonts w:hint="eastAsia" w:ascii="仿宋_GB2312" w:hAnsi="仿宋_GB2312" w:eastAsia="仿宋_GB2312" w:cs="仿宋_GB2312"/>
          <w:color w:val="auto"/>
          <w:sz w:val="32"/>
          <w:szCs w:val="32"/>
          <w:lang w:val="en-US" w:eastAsia="zh-CN"/>
        </w:rPr>
        <w:t>；未组织实施买某等施工人员安全生产事故应急救援演练。</w:t>
      </w:r>
      <w:r>
        <w:rPr>
          <w:rFonts w:hint="eastAsia" w:ascii="仿宋_GB2312" w:hAnsi="宋体" w:eastAsia="仿宋_GB2312" w:cs="仿宋_GB2312"/>
          <w:kern w:val="0"/>
          <w:sz w:val="32"/>
          <w:szCs w:val="32"/>
          <w:shd w:val="clear" w:color="auto" w:fill="FFFFFF"/>
          <w:lang w:val="en-US" w:eastAsia="zh-CN" w:bidi="ar"/>
        </w:rPr>
        <w:t>对事故的发生负有主要领导责任，</w:t>
      </w:r>
      <w:r>
        <w:rPr>
          <w:rFonts w:hint="eastAsia" w:ascii="仿宋_GB2312" w:hAnsi="仿宋_GB2312" w:eastAsia="仿宋_GB2312" w:cs="仿宋_GB2312"/>
          <w:color w:val="auto"/>
          <w:sz w:val="32"/>
          <w:szCs w:val="32"/>
          <w:lang w:val="en-US" w:eastAsia="zh-CN"/>
        </w:rPr>
        <w:t>涉嫌违反《中华人民共和国安全生产法》第二十一条第三项</w:t>
      </w:r>
      <w:r>
        <w:rPr>
          <w:rFonts w:hint="eastAsia" w:ascii="仿宋_GB2312" w:hAnsi="仿宋_GB2312" w:eastAsia="仿宋_GB2312" w:cs="仿宋_GB2312"/>
          <w:color w:val="auto"/>
          <w:sz w:val="32"/>
          <w:szCs w:val="32"/>
          <w:vertAlign w:val="superscript"/>
          <w:lang w:val="en-US" w:eastAsia="zh-CN"/>
        </w:rPr>
        <w:t>[8]</w:t>
      </w:r>
      <w:r>
        <w:rPr>
          <w:rFonts w:hint="eastAsia" w:ascii="仿宋_GB2312" w:hAnsi="仿宋_GB2312" w:eastAsia="仿宋_GB2312" w:cs="仿宋_GB2312"/>
          <w:color w:val="auto"/>
          <w:sz w:val="32"/>
          <w:szCs w:val="32"/>
          <w:lang w:val="en-US" w:eastAsia="zh-CN"/>
        </w:rPr>
        <w:t>、第二十一条第五项、第二十一条第六项之规定，依据</w:t>
      </w:r>
      <w:r>
        <w:rPr>
          <w:rFonts w:hint="eastAsia" w:ascii="仿宋_GB2312" w:hAnsi="仿宋_GB2312" w:eastAsia="仿宋_GB2312" w:cs="仿宋_GB2312"/>
          <w:color w:val="auto"/>
          <w:kern w:val="2"/>
          <w:sz w:val="32"/>
          <w:szCs w:val="32"/>
          <w:lang w:val="en-US" w:eastAsia="zh-CN" w:bidi="ar-SA"/>
        </w:rPr>
        <w:t>《中华人民共和国安全生产法》</w:t>
      </w:r>
      <w:r>
        <w:rPr>
          <w:rFonts w:hint="eastAsia" w:ascii="仿宋_GB2312" w:hAnsi="仿宋_GB2312" w:eastAsia="仿宋_GB2312" w:cs="仿宋_GB2312"/>
          <w:color w:val="auto"/>
          <w:sz w:val="32"/>
          <w:szCs w:val="32"/>
          <w:lang w:val="en-US" w:eastAsia="zh-CN"/>
        </w:rPr>
        <w:t>第九十五条第一项之规定，建议由应急管理局依法处理。</w:t>
      </w:r>
    </w:p>
    <w:p w14:paraId="15C3466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0" w:leftChars="0" w:firstLine="640" w:firstLineChars="200"/>
        <w:jc w:val="lef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sz w:val="32"/>
          <w:szCs w:val="32"/>
          <w:lang w:val="en-US" w:eastAsia="zh-CN"/>
        </w:rPr>
        <w:t>4.陈某，新疆</w:t>
      </w:r>
      <w:r>
        <w:rPr>
          <w:rFonts w:hint="eastAsia" w:ascii="仿宋_GB2312" w:hAnsi="宋体" w:eastAsia="仿宋_GB2312" w:cs="仿宋_GB2312"/>
          <w:kern w:val="0"/>
          <w:sz w:val="32"/>
          <w:szCs w:val="32"/>
          <w:shd w:val="clear" w:color="auto" w:fill="FFFFFF"/>
          <w:lang w:val="en-US" w:eastAsia="zh-CN" w:bidi="ar"/>
        </w:rPr>
        <w:t>同乐建设工程有限公司该项目现场负责人，</w:t>
      </w:r>
      <w:r>
        <w:rPr>
          <w:rFonts w:hint="eastAsia" w:ascii="仿宋_GB2312" w:hAnsi="仿宋_GB2312" w:eastAsia="仿宋_GB2312" w:cs="仿宋_GB2312"/>
          <w:color w:val="auto"/>
          <w:sz w:val="32"/>
          <w:szCs w:val="32"/>
          <w:lang w:val="en-US" w:eastAsia="zh-CN"/>
        </w:rPr>
        <w:t>未组织对买某等施工人员的安全生产教育和培训；未组织实施买某等施工人员安全生产事故应急救援演练。对事故的发生负有现场安全监管不到位责任，涉嫌违反</w:t>
      </w:r>
      <w:r>
        <w:rPr>
          <w:rFonts w:hint="eastAsia" w:ascii="仿宋_GB2312" w:hAnsi="仿宋_GB2312" w:eastAsia="仿宋_GB2312" w:cs="仿宋_GB2312"/>
          <w:color w:val="auto"/>
          <w:kern w:val="2"/>
          <w:sz w:val="32"/>
          <w:szCs w:val="32"/>
          <w:lang w:val="en-US" w:eastAsia="zh-CN" w:bidi="ar-SA"/>
        </w:rPr>
        <w:t>《中华人民共和国安全生产法》第二十一条第三项、第二十一条第六项之规定，依据《中华人民共和国安全生产法》第九十五条第一项之规定，建议由应急管理局依法处理。</w:t>
      </w:r>
    </w:p>
    <w:p w14:paraId="353CCE4E">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ind w:left="0" w:leftChars="0" w:firstLine="640" w:firstLineChars="200"/>
        <w:jc w:val="both"/>
        <w:textAlignment w:val="auto"/>
        <w:rPr>
          <w:rFonts w:hint="eastAsia" w:asciiTheme="minorEastAsia" w:hAnsiTheme="minorEastAsia" w:eastAsiaTheme="minorEastAsia" w:cstheme="minorEastAsia"/>
          <w:b w:val="0"/>
          <w:bCs w:val="0"/>
          <w:color w:val="auto"/>
          <w:sz w:val="18"/>
          <w:szCs w:val="18"/>
          <w:lang w:val="en-US" w:eastAsia="zh-CN"/>
        </w:rPr>
      </w:pPr>
      <w:r>
        <w:rPr>
          <w:rFonts w:hint="eastAsia" w:ascii="仿宋_GB2312" w:hAnsi="仿宋_GB2312" w:eastAsia="仿宋_GB2312" w:cs="仿宋_GB2312"/>
          <w:color w:val="auto"/>
          <w:sz w:val="32"/>
          <w:szCs w:val="32"/>
          <w:lang w:val="en-US" w:eastAsia="zh-CN"/>
        </w:rPr>
        <w:t>5.墨玉县住房和城乡建设局党政主</w:t>
      </w:r>
      <w:r>
        <w:rPr>
          <w:rFonts w:hint="eastAsia" w:ascii="仿宋_GB2312" w:hAnsi="仿宋_GB2312" w:eastAsia="仿宋_GB2312" w:cs="仿宋_GB2312"/>
          <w:color w:val="auto"/>
          <w:kern w:val="2"/>
          <w:sz w:val="32"/>
          <w:szCs w:val="32"/>
          <w:lang w:val="en-US" w:eastAsia="zh-CN" w:bidi="ar-SA"/>
        </w:rPr>
        <w:t>要领导，对主管领域安全生产工作履职不到位，</w:t>
      </w:r>
      <w:r>
        <w:rPr>
          <w:rFonts w:hint="eastAsia" w:ascii="仿宋_GB2312" w:hAnsi="仿宋_GB2312" w:eastAsia="仿宋_GB2312" w:cs="仿宋_GB2312"/>
          <w:color w:val="auto"/>
          <w:sz w:val="32"/>
          <w:szCs w:val="32"/>
          <w:lang w:val="en-US" w:eastAsia="zh-CN"/>
        </w:rPr>
        <w:t>涉嫌违反</w:t>
      </w:r>
      <w:r>
        <w:rPr>
          <w:rFonts w:hint="eastAsia" w:ascii="仿宋_GB2312" w:hAnsi="仿宋_GB2312" w:eastAsia="仿宋_GB2312" w:cs="仿宋_GB2312"/>
          <w:color w:val="auto"/>
          <w:kern w:val="2"/>
          <w:sz w:val="32"/>
          <w:szCs w:val="32"/>
          <w:lang w:val="en-US" w:eastAsia="zh-CN" w:bidi="ar-SA"/>
        </w:rPr>
        <w:t>自治区实施《地方党政领导干部</w:t>
      </w:r>
    </w:p>
    <w:p w14:paraId="548CCEDA">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360" w:lineRule="auto"/>
        <w:ind w:left="0" w:leftChars="0" w:firstLine="0" w:firstLineChars="0"/>
        <w:jc w:val="both"/>
        <w:textAlignment w:val="auto"/>
        <w:rPr>
          <w:rFonts w:hint="eastAsia" w:asciiTheme="minorEastAsia" w:hAnsiTheme="minorEastAsia" w:eastAsiaTheme="minorEastAsia" w:cstheme="minorEastAsia"/>
          <w:b w:val="0"/>
          <w:bCs w:val="0"/>
          <w:color w:val="auto"/>
          <w:sz w:val="18"/>
          <w:szCs w:val="18"/>
          <w:lang w:val="en-US" w:eastAsia="zh-CN"/>
        </w:rPr>
      </w:pPr>
      <w:r>
        <w:rPr>
          <w:sz w:val="18"/>
          <w:szCs w:val="18"/>
        </w:rPr>
        <mc:AlternateContent>
          <mc:Choice Requires="wps">
            <w:drawing>
              <wp:anchor distT="0" distB="0" distL="114300" distR="114300" simplePos="0" relativeHeight="251661312" behindDoc="0" locked="0" layoutInCell="1" allowOverlap="1">
                <wp:simplePos x="0" y="0"/>
                <wp:positionH relativeFrom="column">
                  <wp:posOffset>-10160</wp:posOffset>
                </wp:positionH>
                <wp:positionV relativeFrom="paragraph">
                  <wp:posOffset>138430</wp:posOffset>
                </wp:positionV>
                <wp:extent cx="1428750" cy="0"/>
                <wp:effectExtent l="0" t="0" r="0" b="0"/>
                <wp:wrapNone/>
                <wp:docPr id="5" name="直接连接符 5"/>
                <wp:cNvGraphicFramePr/>
                <a:graphic xmlns:a="http://schemas.openxmlformats.org/drawingml/2006/main">
                  <a:graphicData uri="http://schemas.microsoft.com/office/word/2010/wordprocessingShape">
                    <wps:wsp>
                      <wps:cNvCnPr/>
                      <wps:spPr>
                        <a:xfrm>
                          <a:off x="1006475" y="8322945"/>
                          <a:ext cx="1428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8pt;margin-top:10.9pt;height:0pt;width:112.5pt;z-index:251661312;mso-width-relative:page;mso-height-relative:page;" filled="f" stroked="t" coordsize="21600,21600" o:gfxdata="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94X0/VAAAACAEAAA8AAAAAAAAAAQAgAAAAIgAAAGRycy9kb3ducmV2LnhtbFBLAQIUABQAAAAI&#10;AIdO4kBBHG/G8AEAAL0DAAAOAAAAAAAAAAEAIAAAACQBAABkcnMvZTJvRG9jLnhtbFBLBQYAAAAA&#10;BgAGAFkBAACGBQAAAAA=&#10;">
                <v:fill on="f" focussize="0,0"/>
                <v:stroke weight="0.5pt" color="#000000 [3213]" miterlimit="8" joinstyle="miter"/>
                <v:imagedata o:title=""/>
                <o:lock v:ext="edit" aspectratio="f"/>
              </v:line>
            </w:pict>
          </mc:Fallback>
        </mc:AlternateContent>
      </w:r>
    </w:p>
    <w:p w14:paraId="3146CC91">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heme="minorEastAsia" w:hAnsiTheme="minorEastAsia" w:eastAsiaTheme="minorEastAsia" w:cstheme="minorEastAsia"/>
          <w:b w:val="0"/>
          <w:bCs w:val="0"/>
          <w:color w:val="auto"/>
          <w:sz w:val="18"/>
          <w:szCs w:val="18"/>
          <w:lang w:val="en-US" w:eastAsia="zh-CN"/>
        </w:rPr>
      </w:pPr>
      <w:r>
        <w:rPr>
          <w:rFonts w:hint="eastAsia" w:asciiTheme="minorEastAsia" w:hAnsiTheme="minorEastAsia" w:eastAsiaTheme="minorEastAsia" w:cstheme="minorEastAsia"/>
          <w:b w:val="0"/>
          <w:bCs w:val="0"/>
          <w:color w:val="auto"/>
          <w:sz w:val="18"/>
          <w:szCs w:val="18"/>
          <w:lang w:val="en-US" w:eastAsia="zh-CN"/>
        </w:rPr>
        <w:t>[6]  《中华人民共和国安全生产法》第二十一条 生产经营单位的主要负责人对本单位安全生产工作负有下列职责:（五）组织建立并落实安全风险分级管控和隐患排查治理双重预防工作机制，督促、检查本单位的安全生产工作，及时消除生产安全事故隐患；（六）组织制定并实施本单位的生产安全事故应急救援预案。</w:t>
      </w:r>
    </w:p>
    <w:p w14:paraId="06FEE83C">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eastAsia" w:asciiTheme="minorEastAsia" w:hAnsiTheme="minorEastAsia" w:eastAsiaTheme="minorEastAsia" w:cstheme="minorEastAsia"/>
          <w:b w:val="0"/>
          <w:bCs w:val="0"/>
          <w:color w:val="auto"/>
          <w:sz w:val="18"/>
          <w:szCs w:val="18"/>
          <w:lang w:val="en-US" w:eastAsia="zh-CN"/>
        </w:rPr>
      </w:pPr>
      <w:r>
        <w:rPr>
          <w:rFonts w:hint="eastAsia" w:asciiTheme="minorEastAsia" w:hAnsiTheme="minorEastAsia" w:eastAsiaTheme="minorEastAsia" w:cstheme="minorEastAsia"/>
          <w:b w:val="0"/>
          <w:bCs w:val="0"/>
          <w:color w:val="auto"/>
          <w:sz w:val="18"/>
          <w:szCs w:val="18"/>
          <w:lang w:val="en-US" w:eastAsia="zh-CN"/>
        </w:rPr>
        <w:t>[7] 《中华人民共和国安全生产法》第九十五条：生产经营单位的主要负责人未履行本法规定的安全生产管理职责，导致发生生产安全事故的，由应急管理部门依照下列规定处以罚款:（一）发生一般事故的，处上一年年收入百分之四十的罚款。</w:t>
      </w:r>
    </w:p>
    <w:p w14:paraId="637E4C5A">
      <w:pPr>
        <w:pStyle w:val="2"/>
        <w:keepNext w:val="0"/>
        <w:keepLines w:val="0"/>
        <w:pageBreakBefore w:val="0"/>
        <w:widowControl w:val="0"/>
        <w:numPr>
          <w:ilvl w:val="0"/>
          <w:numId w:val="0"/>
        </w:numPr>
        <w:kinsoku/>
        <w:wordWrap/>
        <w:overflowPunct/>
        <w:topLinePunct w:val="0"/>
        <w:autoSpaceDE/>
        <w:autoSpaceDN/>
        <w:bidi w:val="0"/>
        <w:adjustRightInd/>
        <w:snapToGrid/>
        <w:spacing w:after="0"/>
        <w:textAlignment w:val="auto"/>
        <w:rPr>
          <w:rFonts w:hint="default" w:ascii="Calibri" w:hAnsi="Calibri" w:eastAsia="宋体" w:cs="Times New Roman"/>
          <w:kern w:val="2"/>
          <w:sz w:val="21"/>
          <w:szCs w:val="24"/>
          <w:lang w:val="en-US" w:eastAsia="zh-CN" w:bidi="ar-SA"/>
        </w:rPr>
      </w:pPr>
      <w:r>
        <w:rPr>
          <w:rFonts w:hint="eastAsia" w:asciiTheme="minorEastAsia" w:hAnsiTheme="minorEastAsia" w:eastAsiaTheme="minorEastAsia" w:cstheme="minorEastAsia"/>
          <w:b w:val="0"/>
          <w:bCs w:val="0"/>
          <w:color w:val="auto"/>
          <w:sz w:val="18"/>
          <w:szCs w:val="18"/>
          <w:lang w:val="en-US" w:eastAsia="zh-CN"/>
        </w:rPr>
        <w:t xml:space="preserve">[8] </w:t>
      </w:r>
      <w:r>
        <w:rPr>
          <w:rFonts w:hint="eastAsia" w:asciiTheme="minorEastAsia" w:hAnsiTheme="minorEastAsia" w:eastAsiaTheme="minorEastAsia" w:cstheme="minorEastAsia"/>
          <w:b w:val="0"/>
          <w:bCs w:val="0"/>
          <w:color w:val="auto"/>
          <w:kern w:val="2"/>
          <w:sz w:val="18"/>
          <w:szCs w:val="18"/>
          <w:lang w:val="en-US" w:eastAsia="zh-CN" w:bidi="ar-SA"/>
        </w:rPr>
        <w:t xml:space="preserve"> </w:t>
      </w:r>
      <w:r>
        <w:rPr>
          <w:rFonts w:hint="eastAsia" w:asciiTheme="minorEastAsia" w:hAnsiTheme="minorEastAsia" w:eastAsiaTheme="minorEastAsia" w:cstheme="minorEastAsia"/>
          <w:b w:val="0"/>
          <w:bCs w:val="0"/>
          <w:color w:val="auto"/>
          <w:sz w:val="18"/>
          <w:szCs w:val="18"/>
          <w:lang w:val="en-US" w:eastAsia="zh-CN"/>
        </w:rPr>
        <w:t>《中华人民共和国安全生产法》第二十一条 生产经营单位的主要负责人对本单位安全生产工作负有下列职责：（三）组织制定并实施本单位安全生产教育和培训计划</w:t>
      </w:r>
      <w:r>
        <w:rPr>
          <w:rFonts w:hint="eastAsia" w:asciiTheme="minorEastAsia" w:hAnsiTheme="minorEastAsia" w:eastAsiaTheme="minorEastAsia" w:cstheme="minorEastAsia"/>
          <w:b w:val="0"/>
          <w:bCs w:val="0"/>
          <w:color w:val="auto"/>
          <w:kern w:val="2"/>
          <w:sz w:val="18"/>
          <w:szCs w:val="18"/>
          <w:lang w:val="en-US" w:eastAsia="zh-CN" w:bidi="ar-SA"/>
        </w:rPr>
        <w:t>。</w:t>
      </w:r>
    </w:p>
    <w:p w14:paraId="49B9341E">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560" w:lineRule="exact"/>
        <w:jc w:val="both"/>
        <w:textAlignment w:val="auto"/>
        <w:rPr>
          <w:rFonts w:hint="eastAsia" w:ascii="仿宋_GB2312" w:hAnsi="仿宋_GB2312" w:eastAsia="仿宋_GB2312" w:cs="仿宋_GB2312"/>
          <w:i w:val="0"/>
          <w:caps w:val="0"/>
          <w:color w:val="auto"/>
          <w:spacing w:val="0"/>
          <w:sz w:val="32"/>
          <w:szCs w:val="32"/>
          <w:shd w:val="clear" w:fill="FFFFFF"/>
          <w:lang w:eastAsia="zh-CN"/>
        </w:rPr>
      </w:pPr>
      <w:r>
        <w:rPr>
          <w:rFonts w:hint="eastAsia" w:ascii="仿宋_GB2312" w:hAnsi="仿宋_GB2312" w:eastAsia="仿宋_GB2312" w:cs="仿宋_GB2312"/>
          <w:color w:val="auto"/>
          <w:kern w:val="2"/>
          <w:sz w:val="32"/>
          <w:szCs w:val="32"/>
          <w:lang w:val="en-US" w:eastAsia="zh-CN" w:bidi="ar-SA"/>
        </w:rPr>
        <w:t>安全生产责任制规定》细则第五条（一）、第十五条（一）之规定履行不到位，依据自治区实施《地方党政领导干部安全生产责任制规定》细则</w:t>
      </w:r>
      <w:r>
        <w:rPr>
          <w:rFonts w:hint="eastAsia" w:ascii="仿宋_GB2312" w:hAnsi="仿宋_GB2312" w:eastAsia="仿宋_GB2312" w:cs="仿宋_GB2312"/>
          <w:i w:val="0"/>
          <w:caps w:val="0"/>
          <w:color w:val="auto"/>
          <w:spacing w:val="0"/>
          <w:sz w:val="32"/>
          <w:szCs w:val="32"/>
          <w:shd w:val="clear" w:fill="FFFFFF"/>
        </w:rPr>
        <w:t>第七十五</w:t>
      </w:r>
      <w:r>
        <w:rPr>
          <w:rFonts w:hint="eastAsia" w:ascii="仿宋_GB2312" w:hAnsi="仿宋_GB2312" w:eastAsia="仿宋_GB2312" w:cs="仿宋_GB2312"/>
          <w:i w:val="0"/>
          <w:caps w:val="0"/>
          <w:color w:val="auto"/>
          <w:spacing w:val="0"/>
          <w:sz w:val="32"/>
          <w:szCs w:val="32"/>
          <w:shd w:val="clear" w:fill="FFFFFF"/>
          <w:lang w:eastAsia="zh-CN"/>
        </w:rPr>
        <w:t>第一</w:t>
      </w:r>
      <w:r>
        <w:rPr>
          <w:rFonts w:hint="eastAsia" w:ascii="仿宋_GB2312" w:hAnsi="仿宋_GB2312" w:eastAsia="仿宋_GB2312" w:cs="仿宋_GB2312"/>
          <w:i w:val="0"/>
          <w:caps w:val="0"/>
          <w:color w:val="auto"/>
          <w:spacing w:val="0"/>
          <w:sz w:val="32"/>
          <w:szCs w:val="32"/>
          <w:shd w:val="clear" w:fill="FFFFFF"/>
          <w:vertAlign w:val="baseline"/>
          <w:lang w:eastAsia="zh-CN"/>
        </w:rPr>
        <w:t>款</w:t>
      </w:r>
      <w:r>
        <w:rPr>
          <w:rFonts w:hint="eastAsia" w:ascii="仿宋_GB2312" w:hAnsi="仿宋_GB2312" w:eastAsia="仿宋_GB2312" w:cs="仿宋_GB2312"/>
          <w:i w:val="0"/>
          <w:caps w:val="0"/>
          <w:color w:val="auto"/>
          <w:spacing w:val="0"/>
          <w:sz w:val="32"/>
          <w:szCs w:val="32"/>
          <w:shd w:val="clear" w:fill="FFFFFF"/>
          <w:vertAlign w:val="superscript"/>
          <w:lang w:val="en-US" w:eastAsia="zh-CN"/>
        </w:rPr>
        <w:t>[9]</w:t>
      </w:r>
      <w:r>
        <w:rPr>
          <w:rFonts w:hint="eastAsia" w:ascii="仿宋_GB2312" w:hAnsi="仿宋_GB2312" w:eastAsia="仿宋_GB2312" w:cs="仿宋_GB2312"/>
          <w:i w:val="0"/>
          <w:caps w:val="0"/>
          <w:color w:val="auto"/>
          <w:spacing w:val="0"/>
          <w:sz w:val="32"/>
          <w:szCs w:val="32"/>
          <w:shd w:val="clear" w:fill="FFFFFF"/>
          <w:lang w:eastAsia="zh-CN"/>
        </w:rPr>
        <w:t>之规定，建议主要领导作出深刻的书面检查并对事故调查组报送。</w:t>
      </w:r>
    </w:p>
    <w:p w14:paraId="3AC6EB47">
      <w:pPr>
        <w:pStyle w:val="4"/>
        <w:keepNext/>
        <w:keepLines/>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b w:val="0"/>
          <w:lang w:val="en-US" w:eastAsia="zh-CN"/>
        </w:rPr>
      </w:pPr>
      <w:bookmarkStart w:id="88" w:name="_Toc3921"/>
      <w:bookmarkStart w:id="89" w:name="_Toc6472"/>
      <w:bookmarkStart w:id="90" w:name="_Toc6012_WPSOffice_Level1"/>
      <w:bookmarkStart w:id="91" w:name="_Toc456_WPSOffice_Level1"/>
      <w:r>
        <w:rPr>
          <w:rFonts w:hint="eastAsia"/>
          <w:b w:val="0"/>
          <w:lang w:val="en-US" w:eastAsia="zh-CN"/>
        </w:rPr>
        <w:t>五、事故反思和整改措施</w:t>
      </w:r>
      <w:bookmarkEnd w:id="88"/>
      <w:bookmarkEnd w:id="89"/>
      <w:bookmarkEnd w:id="90"/>
      <w:bookmarkEnd w:id="91"/>
    </w:p>
    <w:p w14:paraId="308F4612">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textAlignment w:val="auto"/>
        <w:rPr>
          <w:rFonts w:hint="eastAsia"/>
          <w:lang w:val="en-US" w:eastAsia="zh-CN"/>
        </w:rPr>
      </w:pPr>
      <w:r>
        <w:rPr>
          <w:rFonts w:hint="eastAsia" w:ascii="仿宋_GB2312" w:hAnsi="仿宋_GB2312" w:eastAsia="仿宋_GB2312" w:cs="仿宋_GB2312"/>
          <w:color w:val="auto"/>
          <w:sz w:val="32"/>
          <w:szCs w:val="32"/>
          <w:lang w:val="en-US" w:eastAsia="zh-CN"/>
        </w:rPr>
        <w:t>为了认真汲取事故教训，贯彻落实“安全第一，预防为主，合治理”的方针，防止类似事故的发生，按照事故“四不放过”原则，提出以下防范和整改措施：</w:t>
      </w:r>
      <w:r>
        <w:rPr>
          <w:rFonts w:hint="eastAsia" w:ascii="仿宋_GB2312" w:hAnsi="仿宋_GB2312" w:eastAsia="仿宋_GB2312" w:cs="仿宋_GB2312"/>
          <w:b/>
          <w:bCs/>
          <w:color w:val="auto"/>
          <w:sz w:val="32"/>
          <w:szCs w:val="32"/>
          <w:lang w:val="en-US" w:eastAsia="zh-CN"/>
        </w:rPr>
        <w:t>一是</w:t>
      </w:r>
      <w:r>
        <w:rPr>
          <w:rFonts w:hint="eastAsia" w:ascii="仿宋_GB2312" w:hAnsi="仿宋_GB2312" w:eastAsia="仿宋_GB2312" w:cs="仿宋_GB2312"/>
          <w:color w:val="auto"/>
          <w:sz w:val="32"/>
          <w:szCs w:val="32"/>
          <w:u w:val="none"/>
          <w:lang w:val="en-US" w:eastAsia="zh-CN"/>
        </w:rPr>
        <w:t>深入学习贯彻习近平总书记关于安全生产的重要指示批示和重要论述精神，牢固树立安全发展理念，把安全生产工作摆在突出位置，切实维护人民群众生</w:t>
      </w:r>
    </w:p>
    <w:p w14:paraId="6DB40DE3">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0" w:firstLineChars="0"/>
        <w:textAlignment w:val="auto"/>
        <w:rPr>
          <w:rFonts w:hint="eastAsia" w:asciiTheme="minorEastAsia" w:hAnsiTheme="minorEastAsia" w:eastAsiaTheme="minorEastAsia" w:cstheme="minorEastAsia"/>
          <w:b w:val="0"/>
          <w:bCs w:val="0"/>
          <w:color w:val="auto"/>
          <w:sz w:val="18"/>
          <w:szCs w:val="18"/>
          <w:lang w:val="en-US" w:eastAsia="zh-CN"/>
        </w:rPr>
      </w:pPr>
      <w:r>
        <w:rPr>
          <w:rFonts w:hint="eastAsia" w:ascii="仿宋_GB2312" w:hAnsi="仿宋_GB2312" w:eastAsia="仿宋_GB2312" w:cs="仿宋_GB2312"/>
          <w:color w:val="auto"/>
          <w:sz w:val="32"/>
          <w:szCs w:val="32"/>
          <w:u w:val="none"/>
          <w:lang w:val="en-US" w:eastAsia="zh-CN"/>
        </w:rPr>
        <w:t>命财产安全。要加强辖区内生产经营单位的安全生产监督检查工作，特别是抓好重要时段、重点环节安全生产检查。要加强组织领导，强化属地管理，完善体制机制，抓好本系统安全监管责任落实，有效防范生产安全事故发生。</w:t>
      </w:r>
      <w:r>
        <w:rPr>
          <w:rFonts w:hint="eastAsia" w:ascii="仿宋_GB2312" w:hAnsi="仿宋_GB2312" w:eastAsia="仿宋_GB2312" w:cs="仿宋_GB2312"/>
          <w:color w:val="auto"/>
          <w:sz w:val="32"/>
          <w:szCs w:val="32"/>
          <w:lang w:val="en-US" w:eastAsia="zh-CN"/>
        </w:rPr>
        <w:t>二</w:t>
      </w:r>
      <w:r>
        <w:rPr>
          <w:rFonts w:hint="eastAsia" w:ascii="仿宋_GB2312" w:hAnsi="仿宋_GB2312" w:eastAsia="仿宋_GB2312" w:cs="仿宋_GB2312"/>
          <w:b/>
          <w:bCs/>
          <w:color w:val="auto"/>
          <w:sz w:val="32"/>
          <w:szCs w:val="32"/>
          <w:u w:val="none"/>
          <w:lang w:val="en-US" w:eastAsia="zh-CN"/>
        </w:rPr>
        <w:t>是</w:t>
      </w:r>
      <w:r>
        <w:rPr>
          <w:rFonts w:hint="eastAsia" w:ascii="仿宋_GB2312" w:hAnsi="仿宋_GB2312" w:eastAsia="仿宋_GB2312" w:cs="仿宋_GB2312"/>
          <w:color w:val="auto"/>
          <w:kern w:val="2"/>
          <w:sz w:val="32"/>
          <w:szCs w:val="32"/>
          <w:lang w:val="en-US" w:eastAsia="zh-CN" w:bidi="ar-SA"/>
        </w:rPr>
        <w:t>新疆同乐建设工程有限公司、新疆博格达电气设备制造有限公司应认真汲取事故教训，严格落实安全生产主体责任，一是对承接的工程项目应落实安全管理职责，完善安全生产责任制，加强对工程项目的管理；加强员工安全培训，提高员工安全意识；落实项目隐患排查治理工作，对存在的安全隐患问题要及时整改，消除事故隐患。</w:t>
      </w:r>
      <w:r>
        <w:rPr>
          <w:rFonts w:hint="eastAsia" w:ascii="仿宋_GB2312" w:hAnsi="仿宋_GB2312" w:eastAsia="仿宋_GB2312" w:cs="仿宋_GB2312"/>
          <w:color w:val="auto"/>
          <w:kern w:val="2"/>
          <w:sz w:val="32"/>
          <w:szCs w:val="32"/>
          <w:u w:val="none"/>
          <w:lang w:val="en-US" w:eastAsia="zh-CN" w:bidi="ar-SA"/>
        </w:rPr>
        <w:t>三</w:t>
      </w:r>
      <w:r>
        <w:rPr>
          <w:rFonts w:hint="eastAsia" w:ascii="仿宋_GB2312" w:hAnsi="仿宋_GB2312" w:eastAsia="仿宋_GB2312" w:cs="仿宋_GB2312"/>
          <w:b/>
          <w:bCs/>
          <w:color w:val="auto"/>
          <w:sz w:val="32"/>
          <w:szCs w:val="32"/>
          <w:u w:val="none"/>
          <w:lang w:val="en-US" w:eastAsia="zh-CN"/>
        </w:rPr>
        <w:t>是</w:t>
      </w:r>
      <w:r>
        <w:rPr>
          <w:rFonts w:hint="eastAsia" w:ascii="仿宋_GB2312" w:hAnsi="仿宋_GB2312" w:eastAsia="仿宋_GB2312" w:cs="仿宋_GB2312"/>
          <w:color w:val="auto"/>
          <w:sz w:val="32"/>
          <w:szCs w:val="32"/>
          <w:u w:val="none"/>
          <w:lang w:val="en-US" w:eastAsia="zh-CN"/>
        </w:rPr>
        <w:t>住建局和博斯坦街道工作委员按“三管三必须”、“自治区实施《地方党</w:t>
      </w:r>
    </w:p>
    <w:p w14:paraId="106EA956">
      <w:pPr>
        <w:keepNext w:val="0"/>
        <w:keepLines w:val="0"/>
        <w:pageBreakBefore w:val="0"/>
        <w:widowControl w:val="0"/>
        <w:numPr>
          <w:ilvl w:val="0"/>
          <w:numId w:val="0"/>
        </w:numPr>
        <w:tabs>
          <w:tab w:val="center" w:pos="4153"/>
        </w:tabs>
        <w:kinsoku/>
        <w:wordWrap/>
        <w:overflowPunct/>
        <w:topLinePunct w:val="0"/>
        <w:autoSpaceDE/>
        <w:autoSpaceDN/>
        <w:bidi w:val="0"/>
        <w:adjustRightInd/>
        <w:snapToGrid/>
        <w:spacing w:line="360" w:lineRule="auto"/>
        <w:ind w:left="0" w:leftChars="0" w:firstLine="0" w:firstLineChars="0"/>
        <w:jc w:val="both"/>
        <w:textAlignment w:val="auto"/>
        <w:rPr>
          <w:rFonts w:hint="eastAsia" w:asciiTheme="minorEastAsia" w:hAnsiTheme="minorEastAsia" w:eastAsiaTheme="minorEastAsia" w:cstheme="minorEastAsia"/>
          <w:b w:val="0"/>
          <w:bCs w:val="0"/>
          <w:color w:val="auto"/>
          <w:sz w:val="18"/>
          <w:szCs w:val="18"/>
          <w:lang w:val="en-US" w:eastAsia="zh-CN"/>
        </w:rPr>
      </w:pPr>
      <w:r>
        <w:rPr>
          <w:sz w:val="18"/>
          <w:szCs w:val="18"/>
        </w:rPr>
        <mc:AlternateContent>
          <mc:Choice Requires="wps">
            <w:drawing>
              <wp:anchor distT="0" distB="0" distL="114300" distR="114300" simplePos="0" relativeHeight="251664384" behindDoc="0" locked="0" layoutInCell="1" allowOverlap="1">
                <wp:simplePos x="0" y="0"/>
                <wp:positionH relativeFrom="column">
                  <wp:posOffset>-10160</wp:posOffset>
                </wp:positionH>
                <wp:positionV relativeFrom="paragraph">
                  <wp:posOffset>138430</wp:posOffset>
                </wp:positionV>
                <wp:extent cx="1428750" cy="0"/>
                <wp:effectExtent l="0" t="0" r="0" b="0"/>
                <wp:wrapNone/>
                <wp:docPr id="7" name="直接连接符 7"/>
                <wp:cNvGraphicFramePr/>
                <a:graphic xmlns:a="http://schemas.openxmlformats.org/drawingml/2006/main">
                  <a:graphicData uri="http://schemas.microsoft.com/office/word/2010/wordprocessingShape">
                    <wps:wsp>
                      <wps:cNvCnPr/>
                      <wps:spPr>
                        <a:xfrm>
                          <a:off x="1006475" y="8322945"/>
                          <a:ext cx="14287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8pt;margin-top:10.9pt;height:0pt;width:112.5pt;z-index:251664384;mso-width-relative:page;mso-height-relative:page;" filled="f" stroked="t" coordsize="21600,21600" o:gfxdata="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94X0/VAAAACAEAAA8AAAAAAAAAAQAgAAAAIgAAAGRycy9kb3ducmV2LnhtbFBLAQIUABQAAAAI&#10;AIdO4kDn+NQa8AEAAL0DAAAOAAAAAAAAAAEAIAAAACQBAABkcnMvZTJvRG9jLnhtbFBLBQYAAAAA&#10;BgAGAFkBAACGBQAAAAA=&#10;">
                <v:fill on="f" focussize="0,0"/>
                <v:stroke weight="0.5pt" color="#000000 [3213]" miterlimit="8" joinstyle="miter"/>
                <v:imagedata o:title=""/>
                <o:lock v:ext="edit" aspectratio="f"/>
              </v:line>
            </w:pict>
          </mc:Fallback>
        </mc:AlternateContent>
      </w:r>
    </w:p>
    <w:p w14:paraId="36C2F2B0">
      <w:pPr>
        <w:pStyle w:val="3"/>
        <w:keepNext w:val="0"/>
        <w:keepLines w:val="0"/>
        <w:pageBreakBefore w:val="0"/>
        <w:widowControl w:val="0"/>
        <w:kinsoku/>
        <w:wordWrap/>
        <w:overflowPunct/>
        <w:topLinePunct w:val="0"/>
        <w:autoSpaceDE/>
        <w:autoSpaceDN/>
        <w:bidi w:val="0"/>
        <w:adjustRightInd/>
        <w:snapToGrid/>
        <w:spacing w:after="0" w:afterLines="0"/>
        <w:ind w:left="0" w:leftChars="0" w:firstLine="0" w:firstLineChars="0"/>
        <w:textAlignment w:val="auto"/>
        <w:rPr>
          <w:rFonts w:hint="eastAsia" w:asciiTheme="minorEastAsia" w:hAnsiTheme="minorEastAsia" w:eastAsiaTheme="minorEastAsia" w:cstheme="minorEastAsia"/>
          <w:b w:val="0"/>
          <w:bCs w:val="0"/>
          <w:color w:val="auto"/>
          <w:kern w:val="2"/>
          <w:sz w:val="18"/>
          <w:szCs w:val="18"/>
          <w:lang w:val="en-US" w:eastAsia="zh-CN" w:bidi="ar-SA"/>
        </w:rPr>
      </w:pPr>
      <w:r>
        <w:rPr>
          <w:rFonts w:hint="eastAsia" w:asciiTheme="minorEastAsia" w:hAnsiTheme="minorEastAsia" w:eastAsiaTheme="minorEastAsia" w:cstheme="minorEastAsia"/>
          <w:b w:val="0"/>
          <w:bCs w:val="0"/>
          <w:color w:val="auto"/>
          <w:sz w:val="18"/>
          <w:szCs w:val="18"/>
          <w:lang w:val="en-US" w:eastAsia="zh-CN"/>
        </w:rPr>
        <w:t xml:space="preserve">[9]  </w:t>
      </w:r>
      <w:r>
        <w:rPr>
          <w:rFonts w:hint="eastAsia" w:asciiTheme="minorEastAsia" w:hAnsiTheme="minorEastAsia" w:eastAsiaTheme="minorEastAsia" w:cstheme="minorEastAsia"/>
          <w:b w:val="0"/>
          <w:bCs w:val="0"/>
          <w:color w:val="auto"/>
          <w:kern w:val="2"/>
          <w:sz w:val="18"/>
          <w:szCs w:val="18"/>
          <w:lang w:val="en-US" w:eastAsia="zh-CN" w:bidi="ar-SA"/>
        </w:rPr>
        <w:t>自治区实施《地方党政领导干部安全生产责任制规定》第七十五条第一款：对存在本细则第七十四条情形的责任人员，应当根据情况采取通报、诫勉、停职检查、调整职务、责令辞职、降职、免职或者处分等方式问责；问责对象涉嫌职务违法犯罪的，由监察机关依法调查处置。</w:t>
      </w:r>
    </w:p>
    <w:p w14:paraId="07D51784">
      <w:pPr>
        <w:pStyle w:val="2"/>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0" w:firstLineChars="0"/>
        <w:textAlignment w:val="auto"/>
        <w:rPr>
          <w:rFonts w:hint="eastAsia" w:ascii="仿宋_GB2312" w:hAnsi="仿宋_GB2312" w:eastAsia="仿宋_GB2312" w:cs="仿宋_GB2312"/>
          <w:color w:val="auto"/>
          <w:sz w:val="32"/>
          <w:szCs w:val="32"/>
          <w:u w:val="none"/>
          <w:lang w:val="en-US" w:eastAsia="zh-CN"/>
        </w:rPr>
      </w:pPr>
      <w:r>
        <w:rPr>
          <w:rFonts w:hint="eastAsia" w:ascii="仿宋_GB2312" w:hAnsi="仿宋_GB2312" w:eastAsia="仿宋_GB2312" w:cs="仿宋_GB2312"/>
          <w:color w:val="auto"/>
          <w:sz w:val="32"/>
          <w:szCs w:val="32"/>
          <w:u w:val="none"/>
          <w:lang w:val="en-US" w:eastAsia="zh-CN"/>
        </w:rPr>
        <w:t>政领导干部安全生产责任制规定》细则”要求，项目实施单位、行业主管单位、属地深刻吸取事故教训，严格落实安全生产“党政同责、一岗双责”责任，督促企业落实安全生产主体责任，加强安全生产规章制度严格落实，防止类似事故再次发生。</w:t>
      </w:r>
    </w:p>
    <w:p w14:paraId="6DC0783B">
      <w:pPr>
        <w:pStyle w:val="3"/>
        <w:keepNext w:val="0"/>
        <w:keepLines w:val="0"/>
        <w:pageBreakBefore w:val="0"/>
        <w:widowControl w:val="0"/>
        <w:kinsoku/>
        <w:wordWrap/>
        <w:overflowPunct/>
        <w:topLinePunct w:val="0"/>
        <w:autoSpaceDE/>
        <w:autoSpaceDN/>
        <w:bidi w:val="0"/>
        <w:adjustRightInd/>
        <w:snapToGrid/>
        <w:spacing w:after="0" w:afterLines="0" w:line="560" w:lineRule="exact"/>
        <w:ind w:left="0" w:leftChars="0" w:firstLine="0" w:firstLineChars="0"/>
        <w:textAlignment w:val="auto"/>
        <w:rPr>
          <w:rFonts w:hint="eastAsia"/>
          <w:lang w:val="en-US" w:eastAsia="zh-CN"/>
        </w:rPr>
      </w:pPr>
    </w:p>
    <w:p w14:paraId="1D31713A">
      <w:pPr>
        <w:pStyle w:val="7"/>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lang w:val="en-US" w:eastAsia="zh-CN"/>
        </w:rPr>
      </w:pPr>
    </w:p>
    <w:p w14:paraId="54DBC8B5">
      <w:pPr>
        <w:keepNext w:val="0"/>
        <w:keepLines w:val="0"/>
        <w:pageBreakBefore w:val="0"/>
        <w:widowControl w:val="0"/>
        <w:kinsoku/>
        <w:wordWrap/>
        <w:overflowPunct/>
        <w:topLinePunct w:val="0"/>
        <w:autoSpaceDE/>
        <w:autoSpaceDN/>
        <w:bidi w:val="0"/>
        <w:adjustRightInd/>
        <w:snapToGrid/>
        <w:spacing w:line="560" w:lineRule="exact"/>
        <w:ind w:firstLine="0" w:firstLineChars="0"/>
        <w:textAlignment w:val="auto"/>
        <w:rPr>
          <w:rFonts w:hint="eastAsia"/>
          <w:lang w:val="en-US" w:eastAsia="zh-CN"/>
        </w:rPr>
      </w:pPr>
    </w:p>
    <w:p w14:paraId="3E8DDF59">
      <w:pPr>
        <w:pStyle w:val="2"/>
        <w:rPr>
          <w:rFonts w:hint="eastAsia"/>
          <w:lang w:val="en-US" w:eastAsia="zh-CN"/>
        </w:rPr>
      </w:pPr>
    </w:p>
    <w:p w14:paraId="2126C020">
      <w:pPr>
        <w:pStyle w:val="2"/>
        <w:rPr>
          <w:rFonts w:hint="eastAsia"/>
          <w:lang w:val="en-US" w:eastAsia="zh-CN"/>
        </w:rPr>
      </w:pPr>
    </w:p>
    <w:p w14:paraId="45E89762">
      <w:pPr>
        <w:pStyle w:val="2"/>
        <w:rPr>
          <w:rFonts w:hint="eastAsia"/>
          <w:lang w:val="en-US" w:eastAsia="zh-CN"/>
        </w:rPr>
      </w:pPr>
    </w:p>
    <w:p w14:paraId="4FFC9196">
      <w:pPr>
        <w:pStyle w:val="2"/>
        <w:rPr>
          <w:rFonts w:hint="eastAsia"/>
          <w:lang w:val="en-US" w:eastAsia="zh-CN"/>
        </w:rPr>
      </w:pPr>
    </w:p>
    <w:p w14:paraId="77DE1D93">
      <w:pPr>
        <w:pStyle w:val="2"/>
        <w:rPr>
          <w:rFonts w:hint="eastAsia"/>
          <w:lang w:val="en-US" w:eastAsia="zh-CN"/>
        </w:rPr>
      </w:pPr>
    </w:p>
    <w:p w14:paraId="1E07D526">
      <w:pPr>
        <w:pStyle w:val="2"/>
        <w:rPr>
          <w:rFonts w:hint="eastAsia"/>
          <w:lang w:val="en-US" w:eastAsia="zh-CN"/>
        </w:rPr>
      </w:pPr>
    </w:p>
    <w:p w14:paraId="76549C42">
      <w:pPr>
        <w:pStyle w:val="2"/>
        <w:rPr>
          <w:rFonts w:hint="eastAsia"/>
          <w:lang w:val="en-US" w:eastAsia="zh-CN"/>
        </w:rPr>
      </w:pPr>
    </w:p>
    <w:p w14:paraId="32E2D691">
      <w:pPr>
        <w:pStyle w:val="2"/>
        <w:rPr>
          <w:rFonts w:hint="eastAsia"/>
          <w:lang w:val="en-US" w:eastAsia="zh-CN"/>
        </w:rPr>
      </w:pPr>
    </w:p>
    <w:p w14:paraId="045CF487">
      <w:pPr>
        <w:pStyle w:val="2"/>
        <w:rPr>
          <w:rFonts w:hint="eastAsia"/>
          <w:lang w:val="en-US" w:eastAsia="zh-CN"/>
        </w:rPr>
      </w:pPr>
    </w:p>
    <w:p w14:paraId="4F0C5451">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sz w:val="32"/>
          <w:szCs w:val="32"/>
          <w:lang w:val="en-US" w:eastAsia="zh-CN"/>
        </w:rPr>
      </w:pPr>
      <w:bookmarkStart w:id="92" w:name="_Toc22029_WPSOffice_Level1"/>
      <w:bookmarkStart w:id="93" w:name="_Toc19716_WPSOffice_Level1"/>
      <w:bookmarkStart w:id="94" w:name="_Toc16426_WPSOffice_Level1"/>
      <w:bookmarkStart w:id="95" w:name="_Toc27087_WPSOffice_Level1"/>
      <w:bookmarkStart w:id="96" w:name="_Toc18971_WPSOffice_Level1"/>
      <w:bookmarkStart w:id="97" w:name="_Toc21070_WPSOffice_Level1"/>
      <w:bookmarkStart w:id="98" w:name="_Toc5329_WPSOffice_Level1"/>
      <w:bookmarkStart w:id="99" w:name="_Toc23648_WPSOffice_Level1"/>
      <w:r>
        <w:rPr>
          <w:rFonts w:hint="eastAsia" w:ascii="仿宋_GB2312" w:hAnsi="仿宋_GB2312" w:eastAsia="仿宋_GB2312" w:cs="仿宋_GB2312"/>
          <w:sz w:val="32"/>
          <w:szCs w:val="32"/>
          <w:lang w:val="en-US" w:eastAsia="zh-CN"/>
        </w:rPr>
        <w:t>墨玉县2022年东片区棚户区建设项目</w:t>
      </w:r>
      <w:bookmarkEnd w:id="92"/>
      <w:bookmarkEnd w:id="93"/>
      <w:bookmarkEnd w:id="94"/>
      <w:bookmarkEnd w:id="95"/>
      <w:bookmarkEnd w:id="96"/>
      <w:bookmarkEnd w:id="97"/>
      <w:bookmarkEnd w:id="98"/>
      <w:bookmarkEnd w:id="99"/>
    </w:p>
    <w:p w14:paraId="6108A892">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sz w:val="32"/>
          <w:szCs w:val="32"/>
          <w:lang w:val="en-US" w:eastAsia="zh-CN"/>
        </w:rPr>
      </w:pPr>
      <w:bookmarkStart w:id="100" w:name="_Toc18272_WPSOffice_Level1"/>
      <w:bookmarkStart w:id="101" w:name="_Toc22123_WPSOffice_Level1"/>
      <w:bookmarkStart w:id="102" w:name="_Toc30340_WPSOffice_Level1"/>
      <w:bookmarkStart w:id="103" w:name="_Toc24054_WPSOffice_Level1"/>
      <w:bookmarkStart w:id="104" w:name="_Toc1422_WPSOffice_Level1"/>
      <w:bookmarkStart w:id="105" w:name="_Toc172_WPSOffice_Level1"/>
      <w:bookmarkStart w:id="106" w:name="_Toc10635_WPSOffice_Level1"/>
      <w:bookmarkStart w:id="107" w:name="_Toc9699_WPSOffice_Level1"/>
      <w:r>
        <w:rPr>
          <w:rFonts w:hint="eastAsia" w:ascii="仿宋_GB2312" w:hAnsi="仿宋_GB2312" w:eastAsia="仿宋_GB2312" w:cs="仿宋_GB2312"/>
          <w:sz w:val="32"/>
          <w:szCs w:val="32"/>
          <w:lang w:val="en-US" w:eastAsia="zh-CN"/>
        </w:rPr>
        <w:t>“9·23”一般触电事故调查组</w:t>
      </w:r>
      <w:bookmarkEnd w:id="100"/>
      <w:bookmarkEnd w:id="101"/>
      <w:bookmarkEnd w:id="102"/>
      <w:bookmarkEnd w:id="103"/>
      <w:bookmarkEnd w:id="104"/>
      <w:bookmarkEnd w:id="105"/>
      <w:bookmarkEnd w:id="106"/>
      <w:bookmarkEnd w:id="107"/>
    </w:p>
    <w:p w14:paraId="02074238">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仿宋_GB2312" w:hAnsi="仿宋_GB2312" w:eastAsia="仿宋_GB2312" w:cs="仿宋_GB2312"/>
          <w:sz w:val="32"/>
          <w:szCs w:val="32"/>
          <w:lang w:val="en-US" w:eastAsia="zh-CN"/>
        </w:rPr>
      </w:pPr>
      <w:bookmarkStart w:id="108" w:name="_Toc4520_WPSOffice_Level1"/>
      <w:bookmarkStart w:id="109" w:name="_Toc13005_WPSOffice_Level1"/>
      <w:bookmarkStart w:id="110" w:name="_Toc23984_WPSOffice_Level1"/>
      <w:bookmarkStart w:id="111" w:name="_Toc10382_WPSOffice_Level1"/>
      <w:bookmarkStart w:id="112" w:name="_Toc28876_WPSOffice_Level1"/>
      <w:bookmarkStart w:id="113" w:name="_Toc11738_WPSOffice_Level1"/>
      <w:bookmarkStart w:id="114" w:name="_Toc23003_WPSOffice_Level1"/>
      <w:bookmarkStart w:id="115" w:name="_Toc16975_WPSOffice_Level1"/>
      <w:r>
        <w:rPr>
          <w:rFonts w:hint="eastAsia" w:ascii="仿宋_GB2312" w:hAnsi="仿宋_GB2312" w:eastAsia="仿宋_GB2312" w:cs="仿宋_GB2312"/>
          <w:sz w:val="32"/>
          <w:szCs w:val="32"/>
          <w:lang w:val="en-US" w:eastAsia="zh-CN"/>
        </w:rPr>
        <w:t>2023年10月21日</w:t>
      </w:r>
      <w:bookmarkEnd w:id="108"/>
      <w:bookmarkEnd w:id="109"/>
      <w:bookmarkEnd w:id="110"/>
      <w:bookmarkEnd w:id="111"/>
      <w:bookmarkEnd w:id="112"/>
      <w:bookmarkEnd w:id="113"/>
      <w:bookmarkEnd w:id="114"/>
      <w:bookmarkEnd w:id="115"/>
    </w:p>
    <w:p w14:paraId="572F4076"/>
    <w:sectPr>
      <w:footerReference r:id="rId4" w:type="default"/>
      <w:pgSz w:w="11906" w:h="16838"/>
      <w:pgMar w:top="2098" w:right="1474" w:bottom="1984" w:left="1587" w:header="851" w:footer="992" w:gutter="0"/>
      <w:pgNumType w:fmt="decimal" w:start="1"/>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auto"/>
    <w:pitch w:val="default"/>
    <w:sig w:usb0="A00002BF" w:usb1="184F6CFA" w:usb2="00000012" w:usb3="00000000" w:csb0="00040001" w:csb1="00000000"/>
  </w:font>
  <w:font w:name="方正楷体_GBK">
    <w:panose1 w:val="02000000000000000000"/>
    <w:charset w:val="86"/>
    <w:family w:val="auto"/>
    <w:pitch w:val="default"/>
    <w:sig w:usb0="A00002BF" w:usb1="38CF7CFA" w:usb2="00082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F64545">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BF355">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-201295</wp:posOffset>
              </wp:positionV>
              <wp:extent cx="830580" cy="3556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830580" cy="355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95A434">
                          <w:pPr>
                            <w:pStyle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 xml:space="preserve">— </w:t>
                          </w: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- 1 -</w:t>
                          </w:r>
                          <w:r>
                            <w:rPr>
                              <w:rFonts w:hint="eastAsia" w:ascii="仿宋_GB2312" w:hAnsi="仿宋_GB2312" w:eastAsia="仿宋_GB2312" w:cs="仿宋_GB2312"/>
                              <w:sz w:val="28"/>
                              <w:szCs w:val="28"/>
                              <w:lang w:eastAsia="zh-CN"/>
                            </w:rPr>
                            <w:fldChar w:fldCharType="end"/>
                          </w:r>
                          <w:r>
                            <w:rPr>
                              <w:rFonts w:hint="eastAsia" w:ascii="仿宋_GB2312" w:hAnsi="仿宋_GB2312" w:eastAsia="仿宋_GB2312" w:cs="仿宋_GB2312"/>
                              <w:sz w:val="28"/>
                              <w:szCs w:val="28"/>
                              <w:lang w:eastAsia="zh-CN"/>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15.85pt;height:28pt;width:65.4pt;mso-position-horizontal:outside;mso-position-horizontal-relative:margin;z-index:251659264;mso-width-relative:page;mso-height-relative:page;" filled="f" stroked="f" coordsize="21600,21600" o:gfxdata="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H4iKyTWAAAABwEAAA8AAAAAAAAAAQAgAAAAIgAAAGRycy9kb3ducmV2&#10;LnhtbFBLAQIUABQAAAAIAIdO4kDX7BJmNwIAAGMEAAAOAAAAAAAAAAEAIAAAACUBAABkcnMvZTJv&#10;RG9jLnhtbFBLBQYAAAAABgAGAFkBAADOBQAAAAA=&#10;">
              <v:fill on="f" focussize="0,0"/>
              <v:stroke on="f" weight="0.5pt"/>
              <v:imagedata o:title=""/>
              <o:lock v:ext="edit" aspectratio="f"/>
              <v:textbox inset="0mm,0mm,0mm,0mm">
                <w:txbxContent>
                  <w:p w14:paraId="5895A434">
                    <w:pPr>
                      <w:pStyle w:val="9"/>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 xml:space="preserve">— </w:t>
                    </w:r>
                    <w:r>
                      <w:rPr>
                        <w:rFonts w:hint="eastAsia" w:ascii="仿宋_GB2312" w:hAnsi="仿宋_GB2312" w:eastAsia="仿宋_GB2312" w:cs="仿宋_GB2312"/>
                        <w:sz w:val="28"/>
                        <w:szCs w:val="28"/>
                        <w:lang w:eastAsia="zh-CN"/>
                      </w:rPr>
                      <w:fldChar w:fldCharType="begin"/>
                    </w:r>
                    <w:r>
                      <w:rPr>
                        <w:rFonts w:hint="eastAsia" w:ascii="仿宋_GB2312" w:hAnsi="仿宋_GB2312" w:eastAsia="仿宋_GB2312" w:cs="仿宋_GB2312"/>
                        <w:sz w:val="28"/>
                        <w:szCs w:val="28"/>
                        <w:lang w:eastAsia="zh-CN"/>
                      </w:rPr>
                      <w:instrText xml:space="preserve"> PAGE  \* MERGEFORMAT </w:instrText>
                    </w:r>
                    <w:r>
                      <w:rPr>
                        <w:rFonts w:hint="eastAsia" w:ascii="仿宋_GB2312" w:hAnsi="仿宋_GB2312" w:eastAsia="仿宋_GB2312" w:cs="仿宋_GB2312"/>
                        <w:sz w:val="28"/>
                        <w:szCs w:val="28"/>
                        <w:lang w:eastAsia="zh-CN"/>
                      </w:rPr>
                      <w:fldChar w:fldCharType="separate"/>
                    </w:r>
                    <w:r>
                      <w:rPr>
                        <w:rFonts w:hint="eastAsia" w:ascii="仿宋_GB2312" w:hAnsi="仿宋_GB2312" w:eastAsia="仿宋_GB2312" w:cs="仿宋_GB2312"/>
                        <w:sz w:val="28"/>
                        <w:szCs w:val="28"/>
                        <w:lang w:eastAsia="zh-CN"/>
                      </w:rPr>
                      <w:t>- 1 -</w:t>
                    </w:r>
                    <w:r>
                      <w:rPr>
                        <w:rFonts w:hint="eastAsia" w:ascii="仿宋_GB2312" w:hAnsi="仿宋_GB2312" w:eastAsia="仿宋_GB2312" w:cs="仿宋_GB2312"/>
                        <w:sz w:val="28"/>
                        <w:szCs w:val="28"/>
                        <w:lang w:eastAsia="zh-CN"/>
                      </w:rPr>
                      <w:fldChar w:fldCharType="end"/>
                    </w:r>
                    <w:r>
                      <w:rPr>
                        <w:rFonts w:hint="eastAsia" w:ascii="仿宋_GB2312" w:hAnsi="仿宋_GB2312" w:eastAsia="仿宋_GB2312" w:cs="仿宋_GB2312"/>
                        <w:sz w:val="28"/>
                        <w:szCs w:val="28"/>
                        <w:lang w:eastAsia="zh-CN"/>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607607"/>
    <w:rsid w:val="043A3B75"/>
    <w:rsid w:val="099D7AB9"/>
    <w:rsid w:val="0E367C5D"/>
    <w:rsid w:val="11015B72"/>
    <w:rsid w:val="13E4691D"/>
    <w:rsid w:val="2665527D"/>
    <w:rsid w:val="27791561"/>
    <w:rsid w:val="29BC336C"/>
    <w:rsid w:val="2FC751F2"/>
    <w:rsid w:val="355C574D"/>
    <w:rsid w:val="3C8B16E3"/>
    <w:rsid w:val="3F5575F7"/>
    <w:rsid w:val="44827275"/>
    <w:rsid w:val="45BA02D7"/>
    <w:rsid w:val="4AEF4CAA"/>
    <w:rsid w:val="55B26054"/>
    <w:rsid w:val="646A444D"/>
    <w:rsid w:val="6BD04697"/>
    <w:rsid w:val="7CA97544"/>
    <w:rsid w:val="7EC447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1"/>
    <w:basedOn w:val="1"/>
    <w:next w:val="1"/>
    <w:qFormat/>
    <w:uiPriority w:val="0"/>
    <w:pPr>
      <w:keepNext/>
      <w:keepLines/>
      <w:spacing w:before="340" w:beforeLines="0" w:beforeAutospacing="0" w:after="330" w:afterLines="0" w:afterAutospacing="0" w:line="576" w:lineRule="auto"/>
      <w:outlineLvl w:val="0"/>
    </w:pPr>
    <w:rPr>
      <w:rFonts w:eastAsia="黑体"/>
      <w:kern w:val="44"/>
      <w:sz w:val="32"/>
    </w:rPr>
  </w:style>
  <w:style w:type="paragraph" w:styleId="5">
    <w:name w:val="heading 2"/>
    <w:basedOn w:val="1"/>
    <w:next w:val="1"/>
    <w:unhideWhenUsed/>
    <w:qFormat/>
    <w:uiPriority w:val="0"/>
    <w:pPr>
      <w:keepNext/>
      <w:keepLines/>
      <w:spacing w:beforeLines="0" w:beforeAutospacing="0" w:afterLines="0" w:afterAutospacing="0" w:line="560" w:lineRule="exact"/>
      <w:ind w:firstLine="880" w:firstLineChars="200"/>
      <w:outlineLvl w:val="1"/>
    </w:pPr>
    <w:rPr>
      <w:rFonts w:ascii="Arial" w:hAnsi="Arial" w:eastAsia="楷体_GB2312"/>
      <w:b/>
      <w:sz w:val="32"/>
    </w:rPr>
  </w:style>
  <w:style w:type="paragraph" w:styleId="6">
    <w:name w:val="heading 3"/>
    <w:basedOn w:val="1"/>
    <w:next w:val="1"/>
    <w:semiHidden/>
    <w:unhideWhenUsed/>
    <w:qFormat/>
    <w:uiPriority w:val="0"/>
    <w:pPr>
      <w:keepNext/>
      <w:keepLines/>
      <w:spacing w:before="260" w:beforeLines="0" w:beforeAutospacing="0" w:after="260" w:afterLines="0" w:afterAutospacing="0" w:line="413" w:lineRule="auto"/>
      <w:outlineLvl w:val="2"/>
    </w:pPr>
    <w:rPr>
      <w:rFonts w:ascii="Calibri" w:hAnsi="Calibri" w:eastAsia="仿宋_GB2312" w:cs="Times New Roman"/>
      <w:b/>
      <w:sz w:val="32"/>
      <w:szCs w:val="24"/>
      <w:lang w:bidi="ar-SA"/>
    </w:rPr>
  </w:style>
  <w:style w:type="character" w:default="1" w:styleId="14">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uiPriority w:val="0"/>
    <w:pPr>
      <w:spacing w:after="120" w:afterLines="0" w:afterAutospacing="0"/>
      <w:ind w:left="420" w:leftChars="200"/>
    </w:pPr>
  </w:style>
  <w:style w:type="paragraph" w:styleId="7">
    <w:name w:val="Normal Indent"/>
    <w:basedOn w:val="1"/>
    <w:next w:val="1"/>
    <w:qFormat/>
    <w:uiPriority w:val="0"/>
    <w:pPr>
      <w:ind w:firstLine="420" w:firstLineChars="200"/>
    </w:pPr>
    <w:rPr>
      <w:rFonts w:eastAsia="仿宋"/>
      <w:sz w:val="32"/>
    </w:rPr>
  </w:style>
  <w:style w:type="paragraph" w:styleId="8">
    <w:name w:val="toc 3"/>
    <w:basedOn w:val="1"/>
    <w:next w:val="1"/>
    <w:qFormat/>
    <w:uiPriority w:val="0"/>
    <w:pPr>
      <w:ind w:left="840" w:leftChars="4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8330</Words>
  <Characters>8899</Characters>
  <Lines>0</Lines>
  <Paragraphs>0</Paragraphs>
  <TotalTime>13</TotalTime>
  <ScaleCrop>false</ScaleCrop>
  <LinksUpToDate>false</LinksUpToDate>
  <CharactersWithSpaces>9103</CharactersWithSpaces>
  <Application>WPS Office_12.8.2.18205_F1E327BC-269C-435d-A152-05C5408002CA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2021-11-02T15:47:00Z</dcterms:created>
  <dc:creator>Administrator</dc:creator>
  <cp:lastModifiedBy>Administrator</cp:lastModifiedBy>
  <dcterms:modified xsi:type="dcterms:W3CDTF">2026-05-13T08:53:44Z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2052-12.8.2.18205</vt:lpwstr>
  </property>
  <property fmtid="{D5CDD505-2E9C-101B-9397-08002B2CF9AE}" pid="3" name="ICV">
    <vt:lpwstr>BFB1CAF2F0284781A807E8846215EB2D_12</vt:lpwstr>
  </property>
</Properties>
</file>