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7253E">
      <w:pPr>
        <w:keepNext w:val="0"/>
        <w:keepLines w:val="0"/>
        <w:pageBreakBefore w:val="0"/>
        <w:widowControl w:val="0"/>
        <w:kinsoku/>
        <w:wordWrap/>
        <w:overflowPunct/>
        <w:topLinePunct w:val="0"/>
        <w:autoSpaceDE/>
        <w:autoSpaceDN/>
        <w:bidi w:val="0"/>
        <w:adjustRightInd w:val="0"/>
        <w:snapToGrid w:val="0"/>
        <w:spacing w:line="1000" w:lineRule="exact"/>
        <w:ind w:firstLine="1524" w:firstLineChars="300"/>
        <w:jc w:val="both"/>
        <w:textAlignment w:val="auto"/>
        <w:outlineLvl w:val="0"/>
        <w:rPr>
          <w:rFonts w:hint="eastAsia" w:ascii="方正小标宋简体" w:hAnsi="方正小标宋简体" w:eastAsia="方正小标宋简体" w:cs="方正小标宋简体"/>
          <w:b/>
          <w:bCs/>
          <w:color w:val="auto"/>
          <w:sz w:val="52"/>
          <w:szCs w:val="52"/>
        </w:rPr>
      </w:pPr>
    </w:p>
    <w:p w14:paraId="7A891D77">
      <w:pPr>
        <w:keepNext w:val="0"/>
        <w:keepLines w:val="0"/>
        <w:pageBreakBefore w:val="0"/>
        <w:widowControl w:val="0"/>
        <w:kinsoku/>
        <w:wordWrap/>
        <w:overflowPunct/>
        <w:topLinePunct w:val="0"/>
        <w:autoSpaceDE/>
        <w:autoSpaceDN/>
        <w:bidi w:val="0"/>
        <w:adjustRightInd w:val="0"/>
        <w:snapToGrid w:val="0"/>
        <w:spacing w:line="1000" w:lineRule="exact"/>
        <w:ind w:firstLine="1524" w:firstLineChars="300"/>
        <w:jc w:val="both"/>
        <w:textAlignment w:val="auto"/>
        <w:outlineLvl w:val="9"/>
        <w:rPr>
          <w:rFonts w:hint="eastAsia" w:ascii="方正小标宋简体" w:hAnsi="方正小标宋简体" w:eastAsia="方正小标宋简体" w:cs="方正小标宋简体"/>
          <w:b/>
          <w:bCs/>
          <w:color w:val="auto"/>
          <w:sz w:val="52"/>
          <w:szCs w:val="52"/>
          <w:lang w:val="en-US"/>
        </w:rPr>
      </w:pPr>
      <w:r>
        <w:rPr>
          <w:rFonts w:hint="eastAsia" w:ascii="方正小标宋简体" w:hAnsi="方正小标宋简体" w:eastAsia="方正小标宋简体" w:cs="方正小标宋简体"/>
          <w:b/>
          <w:bCs/>
          <w:color w:val="auto"/>
          <w:sz w:val="52"/>
          <w:szCs w:val="52"/>
        </w:rPr>
        <w:t>墨玉县应急管理</w:t>
      </w:r>
      <w:r>
        <w:rPr>
          <w:rFonts w:hint="eastAsia" w:ascii="方正小标宋简体" w:hAnsi="方正小标宋简体" w:eastAsia="方正小标宋简体" w:cs="方正小标宋简体"/>
          <w:b/>
          <w:bCs/>
          <w:color w:val="auto"/>
          <w:sz w:val="52"/>
          <w:szCs w:val="52"/>
          <w:lang w:val="en-US" w:eastAsia="zh-CN"/>
        </w:rPr>
        <w:t>体系建设</w:t>
      </w:r>
    </w:p>
    <w:p w14:paraId="57BB82AC">
      <w:pPr>
        <w:keepNext w:val="0"/>
        <w:keepLines w:val="0"/>
        <w:pageBreakBefore w:val="0"/>
        <w:widowControl w:val="0"/>
        <w:kinsoku/>
        <w:wordWrap/>
        <w:overflowPunct/>
        <w:topLinePunct w:val="0"/>
        <w:autoSpaceDE/>
        <w:autoSpaceDN/>
        <w:bidi w:val="0"/>
        <w:adjustRightInd w:val="0"/>
        <w:snapToGrid w:val="0"/>
        <w:spacing w:line="1000" w:lineRule="exact"/>
        <w:ind w:left="0" w:leftChars="0" w:firstLine="0" w:firstLineChars="0"/>
        <w:jc w:val="both"/>
        <w:textAlignment w:val="auto"/>
        <w:outlineLvl w:val="9"/>
        <w:rPr>
          <w:rFonts w:hint="eastAsia" w:ascii="方正小标宋简体" w:hAnsi="方正小标宋简体" w:eastAsia="方正小标宋简体" w:cs="方正小标宋简体"/>
          <w:b/>
          <w:bCs/>
          <w:color w:val="auto"/>
          <w:sz w:val="52"/>
          <w:szCs w:val="52"/>
        </w:rPr>
      </w:pPr>
      <w:r>
        <w:rPr>
          <w:rFonts w:hint="eastAsia" w:ascii="方正小标宋简体" w:hAnsi="方正小标宋简体" w:eastAsia="方正小标宋简体" w:cs="方正小标宋简体"/>
          <w:b/>
          <w:bCs/>
          <w:color w:val="auto"/>
          <w:sz w:val="52"/>
          <w:szCs w:val="52"/>
        </w:rPr>
        <w:t>“十</w:t>
      </w:r>
      <w:r>
        <w:rPr>
          <w:rFonts w:hint="eastAsia" w:ascii="方正小标宋简体" w:hAnsi="方正小标宋简体" w:eastAsia="方正小标宋简体" w:cs="方正小标宋简体"/>
          <w:b/>
          <w:bCs/>
          <w:color w:val="auto"/>
          <w:sz w:val="52"/>
          <w:szCs w:val="52"/>
          <w:lang w:val="en-US" w:eastAsia="zh-CN"/>
        </w:rPr>
        <w:t>五</w:t>
      </w:r>
      <w:r>
        <w:rPr>
          <w:rFonts w:hint="eastAsia" w:ascii="方正小标宋简体" w:hAnsi="方正小标宋简体" w:eastAsia="方正小标宋简体" w:cs="方正小标宋简体"/>
          <w:b/>
          <w:bCs/>
          <w:color w:val="auto"/>
          <w:sz w:val="52"/>
          <w:szCs w:val="52"/>
        </w:rPr>
        <w:t>五”</w:t>
      </w:r>
      <w:r>
        <w:rPr>
          <w:rFonts w:hint="eastAsia" w:ascii="方正小标宋简体" w:hAnsi="方正小标宋简体" w:eastAsia="方正小标宋简体" w:cs="方正小标宋简体"/>
          <w:b/>
          <w:bCs/>
          <w:color w:val="auto"/>
          <w:sz w:val="52"/>
          <w:szCs w:val="52"/>
          <w:lang w:val="en-US" w:eastAsia="zh-CN"/>
        </w:rPr>
        <w:t>实施方案</w:t>
      </w:r>
      <w:r>
        <w:rPr>
          <w:rFonts w:hint="eastAsia" w:ascii="方正小标宋简体" w:hAnsi="方正小标宋简体" w:eastAsia="方正小标宋简体" w:cs="方正小标宋简体"/>
          <w:b/>
          <w:bCs/>
          <w:color w:val="auto"/>
          <w:sz w:val="52"/>
          <w:szCs w:val="52"/>
        </w:rPr>
        <w:t>（</w:t>
      </w:r>
      <w:r>
        <w:rPr>
          <w:rFonts w:hint="default" w:ascii="Times New Roman" w:hAnsi="Times New Roman" w:eastAsia="方正小标宋简体" w:cs="Times New Roman"/>
          <w:b/>
          <w:bCs/>
          <w:color w:val="auto"/>
          <w:sz w:val="52"/>
          <w:szCs w:val="52"/>
        </w:rPr>
        <w:t>202</w:t>
      </w:r>
      <w:r>
        <w:rPr>
          <w:rFonts w:hint="default" w:ascii="Times New Roman" w:hAnsi="Times New Roman" w:eastAsia="方正小标宋简体" w:cs="Times New Roman"/>
          <w:b/>
          <w:bCs/>
          <w:color w:val="auto"/>
          <w:sz w:val="52"/>
          <w:szCs w:val="52"/>
          <w:lang w:val="en-US" w:eastAsia="zh-CN"/>
        </w:rPr>
        <w:t>6—</w:t>
      </w:r>
      <w:r>
        <w:rPr>
          <w:rFonts w:hint="default" w:ascii="Times New Roman" w:hAnsi="Times New Roman" w:eastAsia="方正小标宋简体" w:cs="Times New Roman"/>
          <w:b/>
          <w:bCs/>
          <w:color w:val="auto"/>
          <w:sz w:val="52"/>
          <w:szCs w:val="52"/>
        </w:rPr>
        <w:t>20</w:t>
      </w:r>
      <w:r>
        <w:rPr>
          <w:rFonts w:hint="default" w:ascii="Times New Roman" w:hAnsi="Times New Roman" w:eastAsia="方正小标宋简体" w:cs="Times New Roman"/>
          <w:b/>
          <w:bCs/>
          <w:color w:val="auto"/>
          <w:sz w:val="52"/>
          <w:szCs w:val="52"/>
          <w:lang w:val="en-US" w:eastAsia="zh-CN"/>
        </w:rPr>
        <w:t>30</w:t>
      </w:r>
      <w:r>
        <w:rPr>
          <w:rFonts w:hint="eastAsia" w:ascii="方正小标宋简体" w:hAnsi="方正小标宋简体" w:eastAsia="方正小标宋简体" w:cs="方正小标宋简体"/>
          <w:b/>
          <w:bCs/>
          <w:color w:val="auto"/>
          <w:sz w:val="52"/>
          <w:szCs w:val="52"/>
        </w:rPr>
        <w:t>年）</w:t>
      </w:r>
    </w:p>
    <w:p w14:paraId="08B943B6">
      <w:pPr>
        <w:spacing w:line="720" w:lineRule="auto"/>
        <w:ind w:left="0" w:leftChars="0" w:firstLine="0" w:firstLineChars="0"/>
        <w:jc w:val="both"/>
        <w:rPr>
          <w:rFonts w:hint="eastAsia" w:ascii="宋体" w:hAnsi="宋体" w:eastAsia="宋体" w:cs="宋体"/>
          <w:b w:val="0"/>
          <w:bCs w:val="0"/>
          <w:color w:val="auto"/>
          <w:sz w:val="52"/>
          <w:szCs w:val="52"/>
          <w:lang w:eastAsia="zh-CN"/>
        </w:rPr>
      </w:pPr>
    </w:p>
    <w:p w14:paraId="36821881">
      <w:pPr>
        <w:spacing w:line="720" w:lineRule="auto"/>
        <w:ind w:left="0" w:leftChars="0" w:firstLine="0" w:firstLineChars="0"/>
        <w:jc w:val="both"/>
        <w:rPr>
          <w:rFonts w:hint="eastAsia" w:ascii="宋体" w:hAnsi="宋体" w:eastAsia="宋体" w:cs="宋体"/>
          <w:b w:val="0"/>
          <w:bCs w:val="0"/>
          <w:color w:val="auto"/>
          <w:sz w:val="52"/>
          <w:szCs w:val="52"/>
          <w:lang w:eastAsia="zh-CN"/>
        </w:rPr>
      </w:pPr>
    </w:p>
    <w:p w14:paraId="5FDA8B32">
      <w:pPr>
        <w:spacing w:line="720" w:lineRule="auto"/>
        <w:ind w:left="0" w:leftChars="0" w:firstLine="0" w:firstLineChars="0"/>
        <w:jc w:val="both"/>
        <w:rPr>
          <w:rFonts w:hint="eastAsia" w:ascii="微软雅黑" w:hAnsi="微软雅黑" w:eastAsia="微软雅黑" w:cs="微软雅黑"/>
          <w:b w:val="0"/>
          <w:bCs w:val="0"/>
          <w:color w:val="auto"/>
          <w:sz w:val="32"/>
          <w:szCs w:val="32"/>
          <w:lang w:eastAsia="zh-CN"/>
        </w:rPr>
      </w:pPr>
    </w:p>
    <w:p w14:paraId="19790915">
      <w:pPr>
        <w:spacing w:line="720" w:lineRule="auto"/>
        <w:ind w:left="0" w:leftChars="0" w:firstLine="0" w:firstLineChars="0"/>
        <w:jc w:val="both"/>
        <w:rPr>
          <w:rFonts w:hint="eastAsia" w:ascii="微软雅黑" w:hAnsi="微软雅黑" w:eastAsia="微软雅黑" w:cs="微软雅黑"/>
          <w:b w:val="0"/>
          <w:bCs w:val="0"/>
          <w:color w:val="auto"/>
          <w:sz w:val="21"/>
          <w:szCs w:val="21"/>
          <w:lang w:eastAsia="zh-CN"/>
        </w:rPr>
      </w:pPr>
    </w:p>
    <w:p w14:paraId="4F48FEA2">
      <w:pPr>
        <w:spacing w:line="720" w:lineRule="auto"/>
        <w:ind w:left="0" w:leftChars="0" w:firstLine="0" w:firstLineChars="0"/>
        <w:jc w:val="both"/>
        <w:rPr>
          <w:rFonts w:hint="eastAsia" w:ascii="微软雅黑" w:hAnsi="微软雅黑" w:eastAsia="微软雅黑" w:cs="微软雅黑"/>
          <w:b w:val="0"/>
          <w:bCs w:val="0"/>
          <w:color w:val="auto"/>
          <w:sz w:val="21"/>
          <w:szCs w:val="21"/>
          <w:lang w:eastAsia="zh-CN"/>
        </w:rPr>
      </w:pPr>
    </w:p>
    <w:p w14:paraId="4E8918CF">
      <w:pPr>
        <w:widowControl/>
        <w:kinsoku w:val="0"/>
        <w:autoSpaceDE w:val="0"/>
        <w:autoSpaceDN w:val="0"/>
        <w:adjustRightInd w:val="0"/>
        <w:snapToGrid w:val="0"/>
        <w:spacing w:before="133" w:after="0" w:afterLines="0" w:line="189" w:lineRule="auto"/>
        <w:jc w:val="center"/>
        <w:textAlignment w:val="baseline"/>
        <w:outlineLvl w:val="9"/>
        <w:rPr>
          <w:rFonts w:hint="eastAsia" w:ascii="黑体" w:hAnsi="黑体" w:eastAsia="黑体" w:cs="黑体"/>
          <w:snapToGrid w:val="0"/>
          <w:color w:val="auto"/>
          <w:spacing w:val="-15"/>
          <w:w w:val="96"/>
          <w:kern w:val="0"/>
          <w:sz w:val="32"/>
          <w:szCs w:val="32"/>
          <w:lang w:val="en-US" w:eastAsia="zh-CN"/>
        </w:rPr>
      </w:pPr>
      <w:r>
        <w:rPr>
          <w:rFonts w:hint="eastAsia" w:ascii="黑体" w:hAnsi="黑体" w:eastAsia="黑体" w:cs="黑体"/>
          <w:snapToGrid w:val="0"/>
          <w:color w:val="auto"/>
          <w:spacing w:val="-15"/>
          <w:w w:val="96"/>
          <w:kern w:val="0"/>
          <w:sz w:val="32"/>
          <w:szCs w:val="32"/>
          <w:lang w:val="en-US" w:eastAsia="zh-CN"/>
        </w:rPr>
        <w:t>新疆维吾尔自治区和田地区墨玉县应急管理局</w:t>
      </w:r>
    </w:p>
    <w:p w14:paraId="70A1C6BB">
      <w:pPr>
        <w:widowControl/>
        <w:kinsoku w:val="0"/>
        <w:autoSpaceDE w:val="0"/>
        <w:autoSpaceDN w:val="0"/>
        <w:adjustRightInd w:val="0"/>
        <w:snapToGrid w:val="0"/>
        <w:spacing w:before="133" w:after="0" w:afterLines="0" w:line="189" w:lineRule="auto"/>
        <w:jc w:val="center"/>
        <w:textAlignment w:val="baseline"/>
        <w:rPr>
          <w:rFonts w:hint="eastAsia" w:ascii="黑体" w:hAnsi="黑体" w:eastAsia="黑体" w:cs="黑体"/>
          <w:snapToGrid w:val="0"/>
          <w:color w:val="auto"/>
          <w:spacing w:val="-15"/>
          <w:w w:val="96"/>
          <w:kern w:val="0"/>
          <w:sz w:val="32"/>
          <w:szCs w:val="32"/>
          <w:lang w:val="en-US" w:eastAsia="zh-CN"/>
        </w:rPr>
      </w:pPr>
      <w:r>
        <w:rPr>
          <w:rFonts w:hint="default" w:ascii="Times New Roman" w:hAnsi="Times New Roman" w:eastAsia="黑体" w:cs="Times New Roman"/>
          <w:snapToGrid w:val="0"/>
          <w:color w:val="auto"/>
          <w:spacing w:val="-15"/>
          <w:w w:val="96"/>
          <w:kern w:val="0"/>
          <w:sz w:val="32"/>
          <w:szCs w:val="32"/>
          <w:lang w:val="en-US" w:eastAsia="zh-CN"/>
        </w:rPr>
        <w:t>2025</w:t>
      </w:r>
      <w:r>
        <w:rPr>
          <w:rFonts w:hint="eastAsia" w:ascii="黑体" w:hAnsi="黑体" w:eastAsia="黑体" w:cs="黑体"/>
          <w:snapToGrid w:val="0"/>
          <w:color w:val="auto"/>
          <w:spacing w:val="-15"/>
          <w:w w:val="96"/>
          <w:kern w:val="0"/>
          <w:sz w:val="32"/>
          <w:szCs w:val="32"/>
          <w:lang w:val="en-US" w:eastAsia="zh-CN"/>
        </w:rPr>
        <w:t>年</w:t>
      </w:r>
      <w:r>
        <w:rPr>
          <w:rFonts w:hint="default" w:ascii="Times New Roman" w:hAnsi="Times New Roman" w:eastAsia="黑体" w:cs="Times New Roman"/>
          <w:snapToGrid w:val="0"/>
          <w:color w:val="auto"/>
          <w:spacing w:val="-15"/>
          <w:w w:val="96"/>
          <w:kern w:val="0"/>
          <w:sz w:val="32"/>
          <w:szCs w:val="32"/>
          <w:lang w:val="en-US" w:eastAsia="zh-CN"/>
        </w:rPr>
        <w:t>12</w:t>
      </w:r>
      <w:r>
        <w:rPr>
          <w:rFonts w:hint="eastAsia" w:ascii="黑体" w:hAnsi="黑体" w:eastAsia="黑体" w:cs="黑体"/>
          <w:snapToGrid w:val="0"/>
          <w:color w:val="auto"/>
          <w:spacing w:val="-15"/>
          <w:w w:val="96"/>
          <w:kern w:val="0"/>
          <w:sz w:val="32"/>
          <w:szCs w:val="32"/>
          <w:lang w:val="en-US" w:eastAsia="zh-CN"/>
        </w:rPr>
        <w:t>月</w:t>
      </w:r>
    </w:p>
    <w:p w14:paraId="4F019434">
      <w:pPr>
        <w:spacing w:before="0" w:beforeLines="0" w:after="0" w:afterLines="0" w:line="240" w:lineRule="auto"/>
        <w:ind w:left="0" w:leftChars="0" w:right="0" w:rightChars="0" w:firstLine="0" w:firstLineChars="0"/>
        <w:jc w:val="center"/>
        <w:rPr>
          <w:rFonts w:hint="eastAsia" w:ascii="黑体" w:hAnsi="黑体" w:eastAsia="黑体" w:cs="黑体"/>
          <w:b/>
          <w:bCs/>
          <w:color w:val="auto"/>
          <w:sz w:val="32"/>
          <w:szCs w:val="32"/>
        </w:rPr>
      </w:pPr>
    </w:p>
    <w:p w14:paraId="3B372C6A">
      <w:pPr>
        <w:spacing w:before="0" w:beforeLines="0" w:after="0" w:afterLines="0" w:line="240" w:lineRule="auto"/>
        <w:ind w:left="0" w:leftChars="0" w:right="0" w:rightChars="0" w:firstLine="0" w:firstLineChars="0"/>
        <w:jc w:val="center"/>
        <w:rPr>
          <w:rFonts w:hint="eastAsia" w:ascii="微软雅黑" w:hAnsi="微软雅黑" w:eastAsia="微软雅黑" w:cs="微软雅黑"/>
          <w:b/>
          <w:bCs/>
          <w:color w:val="auto"/>
          <w:sz w:val="30"/>
          <w:szCs w:val="30"/>
        </w:rPr>
      </w:pPr>
    </w:p>
    <w:p w14:paraId="5B1C2F45">
      <w:pPr>
        <w:spacing w:before="0" w:beforeLines="0" w:after="0" w:afterLines="0" w:line="240" w:lineRule="auto"/>
        <w:ind w:left="0" w:leftChars="0" w:right="0" w:rightChars="0" w:firstLine="0" w:firstLineChars="0"/>
        <w:jc w:val="center"/>
        <w:rPr>
          <w:rFonts w:hint="eastAsia" w:ascii="黑体" w:hAnsi="黑体" w:eastAsia="黑体" w:cs="黑体"/>
          <w:b/>
          <w:bCs/>
          <w:color w:val="auto"/>
          <w:sz w:val="32"/>
          <w:szCs w:val="32"/>
        </w:rPr>
        <w:sectPr>
          <w:pgSz w:w="11906" w:h="16838"/>
          <w:pgMar w:top="2098" w:right="1474" w:bottom="1984" w:left="1587" w:header="851" w:footer="992" w:gutter="0"/>
          <w:pgNumType w:fmt="decimal"/>
          <w:cols w:space="720" w:num="1"/>
          <w:rtlGutter w:val="0"/>
          <w:docGrid w:type="linesAndChars" w:linePitch="579" w:charSpace="0"/>
        </w:sectPr>
      </w:pPr>
    </w:p>
    <w:p w14:paraId="3FFE5C3A">
      <w:pPr>
        <w:spacing w:before="0" w:beforeLines="0" w:after="0" w:afterLines="0" w:line="240" w:lineRule="auto"/>
        <w:ind w:left="0" w:leftChars="0" w:right="0" w:rightChars="0" w:firstLine="0" w:firstLineChars="0"/>
        <w:jc w:val="center"/>
        <w:rPr>
          <w:rFonts w:hint="eastAsia" w:ascii="黑体" w:hAnsi="黑体" w:eastAsia="黑体" w:cs="黑体"/>
          <w:b/>
          <w:bCs/>
          <w:color w:val="auto"/>
          <w:sz w:val="32"/>
          <w:szCs w:val="32"/>
        </w:rPr>
      </w:pPr>
    </w:p>
    <w:p w14:paraId="7E4D2256">
      <w:pPr>
        <w:spacing w:before="0" w:beforeLines="0" w:after="0" w:afterLines="0" w:line="240" w:lineRule="auto"/>
        <w:ind w:left="0" w:leftChars="0" w:right="0" w:rightChars="0" w:firstLine="0" w:firstLineChars="0"/>
        <w:jc w:val="center"/>
        <w:rPr>
          <w:rFonts w:hint="eastAsia" w:ascii="黑体" w:hAnsi="黑体" w:eastAsia="黑体" w:cs="黑体"/>
          <w:b/>
          <w:bCs/>
          <w:color w:val="auto"/>
          <w:sz w:val="32"/>
          <w:szCs w:val="32"/>
        </w:rPr>
      </w:pPr>
    </w:p>
    <w:p w14:paraId="3CA527E9">
      <w:pPr>
        <w:spacing w:before="0" w:beforeLines="0" w:after="0" w:afterLines="0" w:line="240" w:lineRule="auto"/>
        <w:ind w:left="0" w:leftChars="0" w:right="0" w:rightChars="0" w:firstLine="0" w:firstLineChars="0"/>
        <w:jc w:val="center"/>
        <w:rPr>
          <w:rFonts w:hint="eastAsia" w:ascii="黑体" w:hAnsi="黑体" w:eastAsia="黑体" w:cs="黑体"/>
          <w:b/>
          <w:bCs/>
          <w:color w:val="auto"/>
          <w:sz w:val="32"/>
          <w:szCs w:val="32"/>
        </w:rPr>
        <w:sectPr>
          <w:footerReference r:id="rId5" w:type="default"/>
          <w:pgSz w:w="11906" w:h="16838"/>
          <w:pgMar w:top="2098" w:right="1474" w:bottom="1984" w:left="1587" w:header="851" w:footer="992" w:gutter="0"/>
          <w:pgNumType w:fmt="decimal" w:start="1"/>
          <w:cols w:space="720" w:num="1"/>
          <w:rtlGutter w:val="0"/>
          <w:docGrid w:type="linesAndChars" w:linePitch="579" w:charSpace="0"/>
        </w:sectPr>
      </w:pPr>
    </w:p>
    <w:p w14:paraId="2A05C9C4">
      <w:pPr>
        <w:keepNext w:val="0"/>
        <w:keepLines w:val="0"/>
        <w:pageBreakBefore w:val="0"/>
        <w:widowControl w:val="0"/>
        <w:kinsoku/>
        <w:wordWrap/>
        <w:overflowPunct/>
        <w:topLinePunct w:val="0"/>
        <w:autoSpaceDE/>
        <w:autoSpaceDN/>
        <w:bidi w:val="0"/>
        <w:adjustRightInd w:val="0"/>
        <w:snapToGrid w:val="0"/>
        <w:spacing w:before="0" w:beforeLines="0" w:after="0" w:afterLines="0" w:line="576" w:lineRule="exact"/>
        <w:ind w:left="0" w:leftChars="0" w:right="0" w:rightChars="0" w:firstLine="0" w:firstLineChars="0"/>
        <w:jc w:val="center"/>
        <w:textAlignment w:val="auto"/>
        <w:rPr>
          <w:rFonts w:ascii="宋体" w:hAnsi="宋体" w:eastAsia="宋体"/>
          <w:b/>
          <w:bCs/>
          <w:color w:val="auto"/>
          <w:sz w:val="32"/>
          <w:szCs w:val="32"/>
        </w:rPr>
      </w:pPr>
      <w:r>
        <w:rPr>
          <w:rFonts w:ascii="宋体" w:hAnsi="宋体" w:eastAsia="宋体"/>
          <w:b/>
          <w:bCs/>
          <w:color w:val="auto"/>
          <w:sz w:val="32"/>
          <w:szCs w:val="32"/>
        </w:rPr>
        <w:t>目</w:t>
      </w:r>
      <w:r>
        <w:rPr>
          <w:rFonts w:hint="eastAsia" w:ascii="宋体" w:hAnsi="宋体" w:eastAsia="宋体"/>
          <w:b/>
          <w:bCs/>
          <w:color w:val="auto"/>
          <w:sz w:val="32"/>
          <w:szCs w:val="32"/>
          <w:lang w:val="en-US" w:eastAsia="zh-CN"/>
        </w:rPr>
        <w:t xml:space="preserve">   </w:t>
      </w:r>
      <w:r>
        <w:rPr>
          <w:rFonts w:ascii="宋体" w:hAnsi="宋体" w:eastAsia="宋体"/>
          <w:b/>
          <w:bCs/>
          <w:color w:val="auto"/>
          <w:sz w:val="32"/>
          <w:szCs w:val="32"/>
        </w:rPr>
        <w:t>录</w:t>
      </w:r>
    </w:p>
    <w:p w14:paraId="48D41978">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textAlignment w:val="auto"/>
        <w:rPr>
          <w:rFonts w:hint="eastAsia" w:ascii="仿宋" w:hAnsi="仿宋" w:eastAsia="仿宋" w:cs="仿宋"/>
          <w:b w:val="0"/>
          <w:bCs w:val="0"/>
          <w:color w:val="auto"/>
          <w:sz w:val="28"/>
          <w:szCs w:val="28"/>
        </w:rPr>
      </w:pPr>
      <w:r>
        <w:rPr>
          <w:rFonts w:ascii="黑体" w:hAnsi="黑体" w:eastAsia="黑体" w:cs="Times New Roman"/>
          <w:color w:val="auto"/>
          <w:kern w:val="2"/>
          <w:sz w:val="24"/>
          <w:szCs w:val="24"/>
          <w:lang w:val="en-US" w:eastAsia="zh-CN" w:bidi="ar-SA"/>
        </w:rPr>
        <w:fldChar w:fldCharType="begin"/>
      </w:r>
      <w:r>
        <w:rPr>
          <w:rFonts w:ascii="黑体" w:hAnsi="黑体" w:eastAsia="黑体" w:cs="Times New Roman"/>
          <w:color w:val="auto"/>
          <w:kern w:val="2"/>
          <w:sz w:val="24"/>
          <w:szCs w:val="24"/>
          <w:lang w:val="en-US" w:eastAsia="zh-CN" w:bidi="ar-SA"/>
        </w:rPr>
        <w:instrText xml:space="preserve">TOC\o"1-1"\h\u</w:instrText>
      </w:r>
      <w:r>
        <w:rPr>
          <w:rFonts w:ascii="黑体" w:hAnsi="黑体" w:eastAsia="黑体" w:cs="Times New Roman"/>
          <w:color w:val="auto"/>
          <w:kern w:val="2"/>
          <w:sz w:val="24"/>
          <w:szCs w:val="24"/>
          <w:lang w:val="en-US" w:eastAsia="zh-CN" w:bidi="ar-SA"/>
        </w:rPr>
        <w:fldChar w:fldCharType="separate"/>
      </w:r>
      <w:r>
        <w:rPr>
          <w:rFonts w:hint="eastAsia" w:ascii="仿宋" w:hAnsi="仿宋" w:eastAsia="仿宋" w:cs="仿宋"/>
          <w:b/>
          <w:bCs/>
          <w:color w:val="auto"/>
          <w:kern w:val="2"/>
          <w:sz w:val="28"/>
          <w:szCs w:val="28"/>
          <w:lang w:val="en-US" w:eastAsia="zh-CN" w:bidi="ar-SA"/>
        </w:rPr>
        <w:fldChar w:fldCharType="begin"/>
      </w:r>
      <w:r>
        <w:rPr>
          <w:rFonts w:hint="eastAsia" w:ascii="仿宋" w:hAnsi="仿宋" w:eastAsia="仿宋" w:cs="仿宋"/>
          <w:b/>
          <w:bCs/>
          <w:color w:val="auto"/>
          <w:kern w:val="2"/>
          <w:sz w:val="28"/>
          <w:szCs w:val="28"/>
          <w:lang w:val="en-US" w:eastAsia="zh-CN" w:bidi="ar-SA"/>
        </w:rPr>
        <w:instrText xml:space="preserve"> HYPERLINK \l _Toc23127 </w:instrText>
      </w:r>
      <w:r>
        <w:rPr>
          <w:rFonts w:hint="eastAsia" w:ascii="仿宋" w:hAnsi="仿宋" w:eastAsia="仿宋" w:cs="仿宋"/>
          <w:b/>
          <w:bCs/>
          <w:color w:val="auto"/>
          <w:kern w:val="2"/>
          <w:sz w:val="28"/>
          <w:szCs w:val="28"/>
          <w:lang w:val="en-US" w:eastAsia="zh-CN" w:bidi="ar-SA"/>
        </w:rPr>
        <w:fldChar w:fldCharType="separate"/>
      </w:r>
      <w:r>
        <w:rPr>
          <w:rFonts w:hint="eastAsia" w:ascii="仿宋" w:hAnsi="仿宋" w:eastAsia="仿宋" w:cs="仿宋"/>
          <w:b/>
          <w:bCs/>
          <w:snapToGrid w:val="0"/>
          <w:color w:val="auto"/>
          <w:spacing w:val="6"/>
          <w:kern w:val="0"/>
          <w:position w:val="1"/>
          <w:sz w:val="28"/>
          <w:szCs w:val="28"/>
          <w:lang w:val="en-US" w:eastAsia="zh-CN"/>
        </w:rPr>
        <w:t>第一章  现状与形势</w:t>
      </w:r>
      <w:r>
        <w:rPr>
          <w:rFonts w:hint="eastAsia" w:ascii="仿宋" w:hAnsi="仿宋" w:eastAsia="仿宋" w:cs="仿宋"/>
          <w:b/>
          <w:bCs/>
          <w:color w:val="auto"/>
          <w:sz w:val="28"/>
          <w:szCs w:val="28"/>
        </w:rPr>
        <w:tab/>
      </w:r>
      <w:r>
        <w:rPr>
          <w:rFonts w:hint="eastAsia" w:ascii="仿宋" w:hAnsi="仿宋" w:eastAsia="仿宋" w:cs="仿宋"/>
          <w:b w:val="0"/>
          <w:bCs w:val="0"/>
          <w:color w:val="auto"/>
          <w:sz w:val="28"/>
          <w:szCs w:val="28"/>
        </w:rPr>
        <w:fldChar w:fldCharType="begin"/>
      </w:r>
      <w:r>
        <w:rPr>
          <w:rFonts w:hint="eastAsia" w:ascii="仿宋" w:hAnsi="仿宋" w:eastAsia="仿宋" w:cs="仿宋"/>
          <w:b w:val="0"/>
          <w:bCs w:val="0"/>
          <w:color w:val="auto"/>
          <w:sz w:val="28"/>
          <w:szCs w:val="28"/>
        </w:rPr>
        <w:instrText xml:space="preserve"> PAGEREF _Toc23127 \h </w:instrText>
      </w:r>
      <w:r>
        <w:rPr>
          <w:rFonts w:hint="eastAsia" w:ascii="仿宋" w:hAnsi="仿宋" w:eastAsia="仿宋" w:cs="仿宋"/>
          <w:b w:val="0"/>
          <w:bCs w:val="0"/>
          <w:color w:val="auto"/>
          <w:sz w:val="28"/>
          <w:szCs w:val="28"/>
        </w:rPr>
        <w:fldChar w:fldCharType="separate"/>
      </w:r>
      <w:r>
        <w:rPr>
          <w:rFonts w:hint="eastAsia" w:ascii="仿宋" w:hAnsi="仿宋" w:eastAsia="仿宋" w:cs="仿宋"/>
          <w:b w:val="0"/>
          <w:bCs w:val="0"/>
          <w:color w:val="auto"/>
          <w:sz w:val="28"/>
          <w:szCs w:val="28"/>
        </w:rPr>
        <w:t>1</w:t>
      </w:r>
      <w:r>
        <w:rPr>
          <w:rFonts w:hint="eastAsia" w:ascii="仿宋" w:hAnsi="仿宋" w:eastAsia="仿宋" w:cs="仿宋"/>
          <w:b w:val="0"/>
          <w:bCs w:val="0"/>
          <w:color w:val="auto"/>
          <w:sz w:val="28"/>
          <w:szCs w:val="28"/>
        </w:rPr>
        <w:fldChar w:fldCharType="end"/>
      </w:r>
      <w:r>
        <w:rPr>
          <w:rFonts w:hint="eastAsia" w:ascii="仿宋" w:hAnsi="仿宋" w:eastAsia="仿宋" w:cs="仿宋"/>
          <w:b/>
          <w:bCs/>
          <w:color w:val="auto"/>
          <w:kern w:val="2"/>
          <w:sz w:val="28"/>
          <w:szCs w:val="28"/>
          <w:lang w:val="en-US" w:eastAsia="zh-CN" w:bidi="ar-SA"/>
        </w:rPr>
        <w:fldChar w:fldCharType="end"/>
      </w:r>
    </w:p>
    <w:p w14:paraId="127E88EC">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_Toc9094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3"/>
          <w:kern w:val="0"/>
          <w:sz w:val="28"/>
          <w:szCs w:val="28"/>
          <w:lang w:val="en-US" w:eastAsia="zh-CN"/>
        </w:rPr>
        <w:t>第一节</w:t>
      </w:r>
      <w:r>
        <w:rPr>
          <w:rFonts w:hint="eastAsia" w:cs="仿宋"/>
          <w:b w:val="0"/>
          <w:bCs w:val="0"/>
          <w:snapToGrid w:val="0"/>
          <w:color w:val="auto"/>
          <w:spacing w:val="3"/>
          <w:kern w:val="0"/>
          <w:sz w:val="28"/>
          <w:szCs w:val="28"/>
          <w:lang w:val="en-US" w:eastAsia="zh-CN"/>
        </w:rPr>
        <w:t xml:space="preserve">  </w:t>
      </w:r>
      <w:r>
        <w:rPr>
          <w:rFonts w:hint="eastAsia" w:ascii="仿宋" w:hAnsi="仿宋" w:eastAsia="仿宋" w:cs="仿宋"/>
          <w:b w:val="0"/>
          <w:bCs w:val="0"/>
          <w:snapToGrid w:val="0"/>
          <w:color w:val="auto"/>
          <w:spacing w:val="3"/>
          <w:kern w:val="0"/>
          <w:sz w:val="28"/>
          <w:szCs w:val="28"/>
          <w:lang w:val="en-US" w:eastAsia="zh-CN"/>
        </w:rPr>
        <w:t>“十四五”时期的主要成效</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sz w:val="28"/>
          <w:szCs w:val="28"/>
        </w:rPr>
        <w:fldChar w:fldCharType="begin"/>
      </w:r>
      <w:r>
        <w:rPr>
          <w:rFonts w:hint="eastAsia" w:ascii="仿宋" w:hAnsi="仿宋" w:eastAsia="仿宋" w:cs="仿宋"/>
          <w:b w:val="0"/>
          <w:bCs w:val="0"/>
          <w:color w:val="auto"/>
          <w:sz w:val="28"/>
          <w:szCs w:val="28"/>
        </w:rPr>
        <w:instrText xml:space="preserve"> PAGEREF _Toc9094 \h </w:instrText>
      </w:r>
      <w:r>
        <w:rPr>
          <w:rFonts w:hint="eastAsia" w:ascii="仿宋" w:hAnsi="仿宋" w:eastAsia="仿宋" w:cs="仿宋"/>
          <w:b w:val="0"/>
          <w:bCs w:val="0"/>
          <w:color w:val="auto"/>
          <w:sz w:val="28"/>
          <w:szCs w:val="28"/>
        </w:rPr>
        <w:fldChar w:fldCharType="separate"/>
      </w:r>
      <w:r>
        <w:rPr>
          <w:rFonts w:hint="eastAsia" w:ascii="仿宋" w:hAnsi="仿宋" w:eastAsia="仿宋" w:cs="仿宋"/>
          <w:b w:val="0"/>
          <w:bCs w:val="0"/>
          <w:color w:val="auto"/>
          <w:sz w:val="28"/>
          <w:szCs w:val="28"/>
        </w:rPr>
        <w:t>1</w:t>
      </w:r>
      <w:r>
        <w:rPr>
          <w:rFonts w:hint="eastAsia" w:ascii="仿宋" w:hAnsi="仿宋" w:eastAsia="仿宋" w:cs="仿宋"/>
          <w:b w:val="0"/>
          <w:bCs w:val="0"/>
          <w:color w:val="auto"/>
          <w:sz w:val="28"/>
          <w:szCs w:val="28"/>
        </w:rPr>
        <w:fldChar w:fldCharType="end"/>
      </w:r>
      <w:r>
        <w:rPr>
          <w:rFonts w:hint="eastAsia" w:ascii="仿宋" w:hAnsi="仿宋" w:eastAsia="仿宋" w:cs="仿宋"/>
          <w:b w:val="0"/>
          <w:bCs w:val="0"/>
          <w:color w:val="auto"/>
          <w:kern w:val="2"/>
          <w:sz w:val="28"/>
          <w:szCs w:val="28"/>
          <w:lang w:val="en-US" w:eastAsia="zh-CN" w:bidi="ar-SA"/>
        </w:rPr>
        <w:fldChar w:fldCharType="end"/>
      </w:r>
    </w:p>
    <w:p w14:paraId="72DBD499">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_Toc18869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3"/>
          <w:kern w:val="0"/>
          <w:sz w:val="28"/>
          <w:szCs w:val="28"/>
          <w:lang w:val="en-US" w:eastAsia="zh-CN"/>
        </w:rPr>
        <w:t>第二节   存在的主要问题</w:t>
      </w:r>
      <w:r>
        <w:rPr>
          <w:rFonts w:hint="eastAsia" w:ascii="仿宋" w:hAnsi="仿宋" w:eastAsia="仿宋" w:cs="仿宋"/>
          <w:b w:val="0"/>
          <w:bCs w:val="0"/>
          <w:color w:val="auto"/>
          <w:sz w:val="28"/>
          <w:szCs w:val="28"/>
        </w:rPr>
        <w:tab/>
      </w:r>
      <w:r>
        <w:rPr>
          <w:rFonts w:hint="eastAsia" w:cs="仿宋"/>
          <w:b w:val="0"/>
          <w:bCs w:val="0"/>
          <w:color w:val="auto"/>
          <w:sz w:val="28"/>
          <w:szCs w:val="28"/>
          <w:lang w:val="en-US" w:eastAsia="zh-CN"/>
        </w:rPr>
        <w:t>6</w:t>
      </w:r>
      <w:r>
        <w:rPr>
          <w:rFonts w:hint="eastAsia" w:ascii="仿宋" w:hAnsi="仿宋" w:eastAsia="仿宋" w:cs="仿宋"/>
          <w:b w:val="0"/>
          <w:bCs w:val="0"/>
          <w:color w:val="auto"/>
          <w:kern w:val="2"/>
          <w:sz w:val="28"/>
          <w:szCs w:val="28"/>
          <w:lang w:val="en-US" w:eastAsia="zh-CN" w:bidi="ar-SA"/>
        </w:rPr>
        <w:fldChar w:fldCharType="end"/>
      </w:r>
    </w:p>
    <w:p w14:paraId="6D116949">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_Toc2206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14"/>
          <w:kern w:val="0"/>
          <w:sz w:val="28"/>
          <w:szCs w:val="28"/>
          <w:lang w:val="en-US" w:eastAsia="zh-CN" w:bidi="ar-SA"/>
        </w:rPr>
        <w:t>第三节 “十五五”时期面临的形势和挑战</w:t>
      </w:r>
      <w:r>
        <w:rPr>
          <w:rFonts w:hint="eastAsia" w:ascii="仿宋" w:hAnsi="仿宋" w:eastAsia="仿宋" w:cs="仿宋"/>
          <w:b w:val="0"/>
          <w:bCs w:val="0"/>
          <w:color w:val="auto"/>
          <w:sz w:val="28"/>
          <w:szCs w:val="28"/>
        </w:rPr>
        <w:tab/>
      </w:r>
      <w:r>
        <w:rPr>
          <w:rFonts w:hint="eastAsia" w:cs="仿宋"/>
          <w:b w:val="0"/>
          <w:bCs w:val="0"/>
          <w:color w:val="auto"/>
          <w:sz w:val="28"/>
          <w:szCs w:val="28"/>
          <w:lang w:val="en-US" w:eastAsia="zh-CN"/>
        </w:rPr>
        <w:t>8</w:t>
      </w:r>
      <w:r>
        <w:rPr>
          <w:rFonts w:hint="eastAsia" w:ascii="仿宋" w:hAnsi="仿宋" w:eastAsia="仿宋" w:cs="仿宋"/>
          <w:b w:val="0"/>
          <w:bCs w:val="0"/>
          <w:color w:val="auto"/>
          <w:kern w:val="2"/>
          <w:sz w:val="28"/>
          <w:szCs w:val="28"/>
          <w:lang w:val="en-US" w:eastAsia="zh-CN" w:bidi="ar-SA"/>
        </w:rPr>
        <w:fldChar w:fldCharType="end"/>
      </w:r>
    </w:p>
    <w:p w14:paraId="54BB803D">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left="0" w:leftChars="0" w:firstLine="536" w:firstLineChars="200"/>
        <w:textAlignment w:val="auto"/>
        <w:rPr>
          <w:rFonts w:hint="default" w:ascii="仿宋" w:hAnsi="仿宋" w:eastAsia="仿宋" w:cs="仿宋"/>
          <w:b w:val="0"/>
          <w:bCs w:val="0"/>
          <w:color w:val="auto"/>
          <w:sz w:val="28"/>
          <w:szCs w:val="28"/>
          <w:lang w:val="en-US"/>
        </w:rPr>
      </w:pPr>
      <w:r>
        <w:rPr>
          <w:rFonts w:hint="eastAsia" w:ascii="仿宋" w:hAnsi="仿宋" w:eastAsia="仿宋" w:cs="仿宋"/>
          <w:b/>
          <w:bCs/>
          <w:color w:val="auto"/>
          <w:kern w:val="2"/>
          <w:sz w:val="28"/>
          <w:szCs w:val="28"/>
          <w:lang w:val="en-US" w:eastAsia="zh-CN" w:bidi="ar-SA"/>
        </w:rPr>
        <w:fldChar w:fldCharType="begin"/>
      </w:r>
      <w:r>
        <w:rPr>
          <w:rFonts w:hint="eastAsia" w:ascii="仿宋" w:hAnsi="仿宋" w:eastAsia="仿宋" w:cs="仿宋"/>
          <w:b/>
          <w:bCs/>
          <w:color w:val="auto"/>
          <w:kern w:val="2"/>
          <w:sz w:val="28"/>
          <w:szCs w:val="28"/>
          <w:lang w:val="en-US" w:eastAsia="zh-CN" w:bidi="ar-SA"/>
        </w:rPr>
        <w:instrText xml:space="preserve"> HYPERLINK \l _Toc21361 </w:instrText>
      </w:r>
      <w:r>
        <w:rPr>
          <w:rFonts w:hint="eastAsia" w:ascii="仿宋" w:hAnsi="仿宋" w:eastAsia="仿宋" w:cs="仿宋"/>
          <w:b/>
          <w:bCs/>
          <w:color w:val="auto"/>
          <w:kern w:val="2"/>
          <w:sz w:val="28"/>
          <w:szCs w:val="28"/>
          <w:lang w:val="en-US" w:eastAsia="zh-CN" w:bidi="ar-SA"/>
        </w:rPr>
        <w:fldChar w:fldCharType="separate"/>
      </w:r>
      <w:r>
        <w:rPr>
          <w:rFonts w:hint="eastAsia" w:ascii="仿宋" w:hAnsi="仿宋" w:eastAsia="仿宋" w:cs="仿宋"/>
          <w:b/>
          <w:bCs/>
          <w:snapToGrid w:val="0"/>
          <w:color w:val="auto"/>
          <w:spacing w:val="8"/>
          <w:kern w:val="0"/>
          <w:position w:val="1"/>
          <w:sz w:val="28"/>
          <w:szCs w:val="28"/>
          <w:lang w:val="en-US" w:eastAsia="zh-CN"/>
        </w:rPr>
        <w:t xml:space="preserve">第二章 </w:t>
      </w:r>
      <w:r>
        <w:rPr>
          <w:rFonts w:hint="eastAsia" w:cs="仿宋"/>
          <w:b/>
          <w:bCs/>
          <w:snapToGrid w:val="0"/>
          <w:color w:val="auto"/>
          <w:spacing w:val="8"/>
          <w:kern w:val="0"/>
          <w:position w:val="1"/>
          <w:sz w:val="28"/>
          <w:szCs w:val="28"/>
          <w:lang w:val="en-US" w:eastAsia="zh-CN"/>
        </w:rPr>
        <w:t xml:space="preserve"> </w:t>
      </w:r>
      <w:r>
        <w:rPr>
          <w:rFonts w:hint="eastAsia" w:ascii="仿宋" w:hAnsi="仿宋" w:eastAsia="仿宋" w:cs="仿宋"/>
          <w:b/>
          <w:bCs/>
          <w:snapToGrid w:val="0"/>
          <w:color w:val="auto"/>
          <w:spacing w:val="8"/>
          <w:kern w:val="0"/>
          <w:position w:val="1"/>
          <w:sz w:val="28"/>
          <w:szCs w:val="28"/>
          <w:lang w:val="en-US" w:eastAsia="zh-CN"/>
        </w:rPr>
        <w:t>指导思想、基本原则和主要目标</w:t>
      </w:r>
      <w:r>
        <w:rPr>
          <w:rFonts w:hint="eastAsia" w:ascii="仿宋" w:hAnsi="仿宋" w:eastAsia="仿宋" w:cs="仿宋"/>
          <w:b/>
          <w:bCs/>
          <w:color w:val="auto"/>
          <w:sz w:val="28"/>
          <w:szCs w:val="28"/>
        </w:rPr>
        <w:tab/>
      </w:r>
      <w:r>
        <w:rPr>
          <w:rFonts w:hint="eastAsia" w:ascii="仿宋" w:hAnsi="仿宋" w:eastAsia="仿宋" w:cs="仿宋"/>
          <w:b w:val="0"/>
          <w:bCs w:val="0"/>
          <w:color w:val="auto"/>
          <w:sz w:val="28"/>
          <w:szCs w:val="28"/>
        </w:rPr>
        <w:fldChar w:fldCharType="begin"/>
      </w:r>
      <w:r>
        <w:rPr>
          <w:rFonts w:hint="eastAsia" w:ascii="仿宋" w:hAnsi="仿宋" w:eastAsia="仿宋" w:cs="仿宋"/>
          <w:b w:val="0"/>
          <w:bCs w:val="0"/>
          <w:color w:val="auto"/>
          <w:sz w:val="28"/>
          <w:szCs w:val="28"/>
        </w:rPr>
        <w:instrText xml:space="preserve"> PAGEREF _Toc21361 \h </w:instrText>
      </w:r>
      <w:r>
        <w:rPr>
          <w:rFonts w:hint="eastAsia" w:ascii="仿宋" w:hAnsi="仿宋" w:eastAsia="仿宋" w:cs="仿宋"/>
          <w:b w:val="0"/>
          <w:bCs w:val="0"/>
          <w:color w:val="auto"/>
          <w:sz w:val="28"/>
          <w:szCs w:val="28"/>
        </w:rPr>
        <w:fldChar w:fldCharType="separate"/>
      </w:r>
      <w:r>
        <w:rPr>
          <w:rFonts w:hint="eastAsia" w:ascii="仿宋" w:hAnsi="仿宋" w:eastAsia="仿宋" w:cs="仿宋"/>
          <w:b w:val="0"/>
          <w:bCs w:val="0"/>
          <w:color w:val="auto"/>
          <w:sz w:val="28"/>
          <w:szCs w:val="28"/>
        </w:rPr>
        <w:t>10</w:t>
      </w:r>
      <w:r>
        <w:rPr>
          <w:rFonts w:hint="eastAsia" w:ascii="仿宋" w:hAnsi="仿宋" w:eastAsia="仿宋" w:cs="仿宋"/>
          <w:b w:val="0"/>
          <w:bCs w:val="0"/>
          <w:color w:val="auto"/>
          <w:sz w:val="28"/>
          <w:szCs w:val="28"/>
        </w:rPr>
        <w:fldChar w:fldCharType="end"/>
      </w:r>
      <w:r>
        <w:rPr>
          <w:rFonts w:hint="eastAsia" w:ascii="仿宋" w:hAnsi="仿宋" w:eastAsia="仿宋" w:cs="仿宋"/>
          <w:b/>
          <w:bCs/>
          <w:color w:val="auto"/>
          <w:kern w:val="2"/>
          <w:sz w:val="28"/>
          <w:szCs w:val="28"/>
          <w:lang w:val="en-US" w:eastAsia="zh-CN" w:bidi="ar-SA"/>
        </w:rPr>
        <w:fldChar w:fldCharType="end"/>
      </w:r>
    </w:p>
    <w:p w14:paraId="69163343">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_Toc18562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17"/>
          <w:kern w:val="0"/>
          <w:sz w:val="28"/>
          <w:szCs w:val="28"/>
          <w:lang w:val="en-US" w:eastAsia="zh-CN"/>
        </w:rPr>
        <w:t>第一节  指导思想</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10</w:t>
      </w:r>
    </w:p>
    <w:p w14:paraId="4BED3F43">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eastAsia"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_Toc25637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17"/>
          <w:kern w:val="0"/>
          <w:sz w:val="28"/>
          <w:szCs w:val="28"/>
          <w:lang w:val="en-US" w:eastAsia="zh-CN"/>
        </w:rPr>
        <w:t xml:space="preserve">第二节 </w:t>
      </w:r>
      <w:r>
        <w:rPr>
          <w:rFonts w:hint="eastAsia" w:cs="仿宋"/>
          <w:b w:val="0"/>
          <w:bCs w:val="0"/>
          <w:snapToGrid w:val="0"/>
          <w:color w:val="auto"/>
          <w:spacing w:val="17"/>
          <w:kern w:val="0"/>
          <w:sz w:val="28"/>
          <w:szCs w:val="28"/>
          <w:lang w:val="en-US" w:eastAsia="zh-CN"/>
        </w:rPr>
        <w:t xml:space="preserve"> </w:t>
      </w:r>
      <w:r>
        <w:rPr>
          <w:rFonts w:hint="eastAsia" w:ascii="仿宋" w:hAnsi="仿宋" w:eastAsia="仿宋" w:cs="仿宋"/>
          <w:b w:val="0"/>
          <w:bCs w:val="0"/>
          <w:snapToGrid w:val="0"/>
          <w:color w:val="auto"/>
          <w:spacing w:val="17"/>
          <w:kern w:val="0"/>
          <w:sz w:val="28"/>
          <w:szCs w:val="28"/>
          <w:lang w:val="en-US" w:eastAsia="zh-CN"/>
        </w:rPr>
        <w:t>基本原则</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11</w:t>
      </w:r>
    </w:p>
    <w:p w14:paraId="399C0618">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color w:val="auto"/>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_Toc25637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17"/>
          <w:kern w:val="0"/>
          <w:sz w:val="28"/>
          <w:szCs w:val="28"/>
          <w:lang w:val="en-US" w:eastAsia="zh-CN"/>
        </w:rPr>
        <w:t>第</w:t>
      </w:r>
      <w:r>
        <w:rPr>
          <w:rFonts w:hint="eastAsia" w:cs="仿宋"/>
          <w:b w:val="0"/>
          <w:bCs w:val="0"/>
          <w:snapToGrid w:val="0"/>
          <w:color w:val="auto"/>
          <w:spacing w:val="17"/>
          <w:kern w:val="0"/>
          <w:sz w:val="28"/>
          <w:szCs w:val="28"/>
          <w:lang w:val="en-US" w:eastAsia="zh-CN"/>
        </w:rPr>
        <w:t>三</w:t>
      </w:r>
      <w:r>
        <w:rPr>
          <w:rFonts w:hint="eastAsia" w:ascii="仿宋" w:hAnsi="仿宋" w:eastAsia="仿宋" w:cs="仿宋"/>
          <w:b w:val="0"/>
          <w:bCs w:val="0"/>
          <w:snapToGrid w:val="0"/>
          <w:color w:val="auto"/>
          <w:spacing w:val="17"/>
          <w:kern w:val="0"/>
          <w:sz w:val="28"/>
          <w:szCs w:val="28"/>
          <w:lang w:val="en-US" w:eastAsia="zh-CN"/>
        </w:rPr>
        <w:t xml:space="preserve">节 </w:t>
      </w:r>
      <w:r>
        <w:rPr>
          <w:rFonts w:hint="eastAsia" w:cs="仿宋"/>
          <w:b w:val="0"/>
          <w:bCs w:val="0"/>
          <w:snapToGrid w:val="0"/>
          <w:color w:val="auto"/>
          <w:spacing w:val="17"/>
          <w:kern w:val="0"/>
          <w:sz w:val="28"/>
          <w:szCs w:val="28"/>
          <w:lang w:val="en-US" w:eastAsia="zh-CN"/>
        </w:rPr>
        <w:t xml:space="preserve"> 主要目标</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12</w:t>
      </w:r>
    </w:p>
    <w:p w14:paraId="591E72AF">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textAlignment w:val="auto"/>
        <w:rPr>
          <w:rFonts w:hint="default" w:ascii="仿宋" w:hAnsi="仿宋" w:eastAsia="仿宋" w:cs="仿宋"/>
          <w:b w:val="0"/>
          <w:bCs w:val="0"/>
          <w:color w:val="auto"/>
          <w:sz w:val="28"/>
          <w:szCs w:val="28"/>
          <w:lang w:val="en-US"/>
        </w:rPr>
      </w:pPr>
      <w:r>
        <w:rPr>
          <w:rFonts w:hint="eastAsia" w:ascii="仿宋" w:hAnsi="仿宋" w:eastAsia="仿宋" w:cs="仿宋"/>
          <w:b/>
          <w:bCs/>
          <w:color w:val="auto"/>
          <w:kern w:val="2"/>
          <w:sz w:val="28"/>
          <w:szCs w:val="28"/>
          <w:lang w:val="en-US" w:eastAsia="zh-CN" w:bidi="ar-SA"/>
        </w:rPr>
        <w:fldChar w:fldCharType="begin"/>
      </w:r>
      <w:r>
        <w:rPr>
          <w:rFonts w:hint="eastAsia" w:ascii="仿宋" w:hAnsi="仿宋" w:eastAsia="仿宋" w:cs="仿宋"/>
          <w:b/>
          <w:bCs/>
          <w:color w:val="auto"/>
          <w:kern w:val="2"/>
          <w:sz w:val="28"/>
          <w:szCs w:val="28"/>
          <w:lang w:val="en-US" w:eastAsia="zh-CN" w:bidi="ar-SA"/>
        </w:rPr>
        <w:instrText xml:space="preserve"> HYPERLINK \l _Toc28261 </w:instrText>
      </w:r>
      <w:r>
        <w:rPr>
          <w:rFonts w:hint="eastAsia" w:ascii="仿宋" w:hAnsi="仿宋" w:eastAsia="仿宋" w:cs="仿宋"/>
          <w:b/>
          <w:bCs/>
          <w:color w:val="auto"/>
          <w:kern w:val="2"/>
          <w:sz w:val="28"/>
          <w:szCs w:val="28"/>
          <w:lang w:val="en-US" w:eastAsia="zh-CN" w:bidi="ar-SA"/>
        </w:rPr>
        <w:fldChar w:fldCharType="separate"/>
      </w:r>
      <w:r>
        <w:rPr>
          <w:rFonts w:hint="eastAsia" w:ascii="仿宋" w:hAnsi="仿宋" w:eastAsia="仿宋" w:cs="仿宋"/>
          <w:b/>
          <w:bCs/>
          <w:color w:val="auto"/>
          <w:spacing w:val="5"/>
          <w:position w:val="1"/>
          <w:sz w:val="28"/>
          <w:szCs w:val="28"/>
        </w:rPr>
        <w:t>第三章</w:t>
      </w:r>
      <w:r>
        <w:rPr>
          <w:rFonts w:hint="eastAsia" w:ascii="仿宋" w:hAnsi="仿宋" w:eastAsia="仿宋" w:cs="仿宋"/>
          <w:b/>
          <w:bCs/>
          <w:color w:val="auto"/>
          <w:spacing w:val="5"/>
          <w:position w:val="1"/>
          <w:sz w:val="28"/>
          <w:szCs w:val="28"/>
          <w:lang w:val="en-US" w:eastAsia="zh-CN"/>
        </w:rPr>
        <w:t xml:space="preserve">  </w:t>
      </w:r>
      <w:r>
        <w:rPr>
          <w:rFonts w:hint="eastAsia" w:ascii="仿宋" w:hAnsi="仿宋" w:eastAsia="仿宋" w:cs="仿宋"/>
          <w:b/>
          <w:bCs/>
          <w:color w:val="auto"/>
          <w:spacing w:val="5"/>
          <w:position w:val="1"/>
          <w:sz w:val="28"/>
          <w:szCs w:val="28"/>
        </w:rPr>
        <w:t>重点任务</w:t>
      </w:r>
      <w:r>
        <w:rPr>
          <w:rFonts w:hint="eastAsia" w:ascii="仿宋" w:hAnsi="仿宋" w:eastAsia="仿宋" w:cs="仿宋"/>
          <w:b/>
          <w:bCs/>
          <w:color w:val="auto"/>
          <w:sz w:val="28"/>
          <w:szCs w:val="28"/>
        </w:rPr>
        <w:tab/>
      </w:r>
      <w:r>
        <w:rPr>
          <w:rFonts w:hint="eastAsia" w:ascii="仿宋" w:hAnsi="仿宋" w:eastAsia="仿宋" w:cs="仿宋"/>
          <w:b/>
          <w:bCs/>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14</w:t>
      </w:r>
    </w:p>
    <w:p w14:paraId="6D348E09">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_Toc3865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10"/>
          <w:kern w:val="0"/>
          <w:sz w:val="28"/>
          <w:szCs w:val="28"/>
          <w:lang w:val="en-US" w:eastAsia="zh-CN" w:bidi="ar-SA"/>
        </w:rPr>
        <w:t>第一节  推进应急管理体系建设</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14</w:t>
      </w:r>
    </w:p>
    <w:p w14:paraId="64D61CA6">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_Toc10702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5"/>
          <w:kern w:val="0"/>
          <w:sz w:val="28"/>
          <w:szCs w:val="28"/>
          <w:lang w:val="en-US" w:eastAsia="zh-CN" w:bidi="ar-SA"/>
        </w:rPr>
        <w:t>第二节  健全风险预警体系，提高风险防控能力</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16</w:t>
      </w:r>
    </w:p>
    <w:p w14:paraId="2143F41D">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_Toc29100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5"/>
          <w:kern w:val="0"/>
          <w:sz w:val="28"/>
          <w:szCs w:val="28"/>
          <w:lang w:val="en-US" w:eastAsia="zh-CN"/>
        </w:rPr>
        <w:t>第三节  全面提升应急管理能力</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17</w:t>
      </w:r>
    </w:p>
    <w:p w14:paraId="0064D413">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_Toc26314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5"/>
          <w:kern w:val="0"/>
          <w:sz w:val="28"/>
          <w:szCs w:val="28"/>
          <w:lang w:val="en-US" w:eastAsia="zh-CN"/>
        </w:rPr>
        <w:t>第四节  完善物资储备，提升应急处置和恢复能力</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19</w:t>
      </w:r>
    </w:p>
    <w:p w14:paraId="02C45BDE">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textAlignment w:val="auto"/>
        <w:rPr>
          <w:rFonts w:hint="default" w:ascii="仿宋" w:hAnsi="仿宋" w:eastAsia="仿宋" w:cs="仿宋"/>
          <w:b w:val="0"/>
          <w:bCs w:val="0"/>
          <w:color w:val="auto"/>
          <w:sz w:val="28"/>
          <w:szCs w:val="28"/>
          <w:lang w:val="en-US"/>
        </w:rPr>
      </w:pPr>
      <w:r>
        <w:rPr>
          <w:rFonts w:hint="eastAsia" w:ascii="仿宋" w:hAnsi="仿宋" w:eastAsia="仿宋" w:cs="仿宋"/>
          <w:b/>
          <w:bCs/>
          <w:color w:val="auto"/>
          <w:kern w:val="2"/>
          <w:sz w:val="28"/>
          <w:szCs w:val="28"/>
          <w:lang w:val="en-US" w:eastAsia="zh-CN" w:bidi="ar-SA"/>
        </w:rPr>
        <w:fldChar w:fldCharType="begin"/>
      </w:r>
      <w:r>
        <w:rPr>
          <w:rFonts w:hint="eastAsia" w:ascii="仿宋" w:hAnsi="仿宋" w:eastAsia="仿宋" w:cs="仿宋"/>
          <w:b/>
          <w:bCs/>
          <w:color w:val="auto"/>
          <w:kern w:val="2"/>
          <w:sz w:val="28"/>
          <w:szCs w:val="28"/>
          <w:lang w:val="en-US" w:eastAsia="zh-CN" w:bidi="ar-SA"/>
        </w:rPr>
        <w:instrText xml:space="preserve"> HYPERLINK \l _Toc9017 </w:instrText>
      </w:r>
      <w:r>
        <w:rPr>
          <w:rFonts w:hint="eastAsia" w:ascii="仿宋" w:hAnsi="仿宋" w:eastAsia="仿宋" w:cs="仿宋"/>
          <w:b/>
          <w:bCs/>
          <w:color w:val="auto"/>
          <w:kern w:val="2"/>
          <w:sz w:val="28"/>
          <w:szCs w:val="28"/>
          <w:lang w:val="en-US" w:eastAsia="zh-CN" w:bidi="ar-SA"/>
        </w:rPr>
        <w:fldChar w:fldCharType="separate"/>
      </w:r>
      <w:r>
        <w:rPr>
          <w:rFonts w:hint="eastAsia" w:ascii="仿宋" w:hAnsi="仿宋" w:eastAsia="仿宋" w:cs="仿宋"/>
          <w:b/>
          <w:bCs/>
          <w:snapToGrid w:val="0"/>
          <w:color w:val="auto"/>
          <w:spacing w:val="13"/>
          <w:kern w:val="0"/>
          <w:sz w:val="28"/>
          <w:szCs w:val="28"/>
          <w:lang w:val="en-US" w:eastAsia="zh-CN"/>
        </w:rPr>
        <w:t>第四章  重点</w:t>
      </w:r>
      <w:r>
        <w:rPr>
          <w:rFonts w:hint="eastAsia" w:cs="仿宋"/>
          <w:b/>
          <w:bCs/>
          <w:snapToGrid w:val="0"/>
          <w:color w:val="auto"/>
          <w:spacing w:val="13"/>
          <w:kern w:val="0"/>
          <w:sz w:val="28"/>
          <w:szCs w:val="28"/>
          <w:lang w:val="en-US" w:eastAsia="zh-CN"/>
        </w:rPr>
        <w:t>项目</w:t>
      </w:r>
      <w:r>
        <w:rPr>
          <w:rFonts w:hint="eastAsia" w:ascii="仿宋" w:hAnsi="仿宋" w:eastAsia="仿宋" w:cs="仿宋"/>
          <w:b/>
          <w:bCs/>
          <w:color w:val="auto"/>
          <w:sz w:val="28"/>
          <w:szCs w:val="28"/>
        </w:rPr>
        <w:tab/>
      </w:r>
      <w:r>
        <w:rPr>
          <w:rFonts w:hint="eastAsia" w:ascii="仿宋" w:hAnsi="仿宋" w:eastAsia="仿宋" w:cs="仿宋"/>
          <w:b/>
          <w:bCs/>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20</w:t>
      </w:r>
    </w:p>
    <w:p w14:paraId="1CEB8A88">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_Toc21698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13"/>
          <w:kern w:val="0"/>
          <w:sz w:val="28"/>
          <w:szCs w:val="28"/>
          <w:lang w:val="en-US" w:eastAsia="zh-CN"/>
        </w:rPr>
        <w:t xml:space="preserve">第一节 </w:t>
      </w:r>
      <w:r>
        <w:rPr>
          <w:rFonts w:hint="eastAsia" w:cs="仿宋"/>
          <w:b w:val="0"/>
          <w:bCs w:val="0"/>
          <w:snapToGrid w:val="0"/>
          <w:color w:val="auto"/>
          <w:spacing w:val="13"/>
          <w:kern w:val="0"/>
          <w:sz w:val="28"/>
          <w:szCs w:val="28"/>
          <w:lang w:val="en-US" w:eastAsia="zh-CN"/>
        </w:rPr>
        <w:t xml:space="preserve"> </w:t>
      </w:r>
      <w:r>
        <w:rPr>
          <w:rFonts w:hint="eastAsia" w:ascii="仿宋" w:hAnsi="仿宋" w:eastAsia="仿宋" w:cs="仿宋"/>
          <w:b w:val="0"/>
          <w:bCs w:val="0"/>
          <w:snapToGrid w:val="0"/>
          <w:color w:val="auto"/>
          <w:spacing w:val="13"/>
          <w:kern w:val="0"/>
          <w:sz w:val="28"/>
          <w:szCs w:val="28"/>
          <w:lang w:val="en-US" w:eastAsia="zh-CN"/>
        </w:rPr>
        <w:t>墨</w:t>
      </w:r>
      <w:r>
        <w:rPr>
          <w:rFonts w:hint="eastAsia" w:ascii="仿宋" w:hAnsi="仿宋" w:eastAsia="仿宋" w:cs="仿宋"/>
          <w:b w:val="0"/>
          <w:bCs w:val="0"/>
          <w:snapToGrid w:val="0"/>
          <w:color w:val="auto"/>
          <w:spacing w:val="10"/>
          <w:kern w:val="0"/>
          <w:sz w:val="28"/>
          <w:szCs w:val="28"/>
          <w:lang w:val="en-US" w:eastAsia="zh-CN" w:bidi="ar-SA"/>
        </w:rPr>
        <w:t>玉县综合应急指挥中心建设项目</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sz w:val="28"/>
          <w:szCs w:val="28"/>
        </w:rPr>
        <w:fldChar w:fldCharType="begin"/>
      </w:r>
      <w:r>
        <w:rPr>
          <w:rFonts w:hint="eastAsia" w:ascii="仿宋" w:hAnsi="仿宋" w:eastAsia="仿宋" w:cs="仿宋"/>
          <w:b w:val="0"/>
          <w:bCs w:val="0"/>
          <w:color w:val="auto"/>
          <w:sz w:val="28"/>
          <w:szCs w:val="28"/>
        </w:rPr>
        <w:instrText xml:space="preserve"> PAGEREF _Toc21698 \h </w:instrText>
      </w:r>
      <w:r>
        <w:rPr>
          <w:rFonts w:hint="eastAsia" w:ascii="仿宋" w:hAnsi="仿宋" w:eastAsia="仿宋" w:cs="仿宋"/>
          <w:b w:val="0"/>
          <w:bCs w:val="0"/>
          <w:color w:val="auto"/>
          <w:sz w:val="28"/>
          <w:szCs w:val="28"/>
        </w:rPr>
        <w:fldChar w:fldCharType="separate"/>
      </w:r>
      <w:r>
        <w:rPr>
          <w:rFonts w:hint="eastAsia" w:ascii="仿宋" w:hAnsi="仿宋" w:eastAsia="仿宋" w:cs="仿宋"/>
          <w:b w:val="0"/>
          <w:bCs w:val="0"/>
          <w:color w:val="auto"/>
          <w:sz w:val="28"/>
          <w:szCs w:val="28"/>
        </w:rPr>
        <w:t>20</w:t>
      </w:r>
      <w:r>
        <w:rPr>
          <w:rFonts w:hint="eastAsia" w:ascii="仿宋" w:hAnsi="仿宋" w:eastAsia="仿宋" w:cs="仿宋"/>
          <w:b w:val="0"/>
          <w:bCs w:val="0"/>
          <w:color w:val="auto"/>
          <w:sz w:val="28"/>
          <w:szCs w:val="28"/>
        </w:rPr>
        <w:fldChar w:fldCharType="end"/>
      </w:r>
      <w:r>
        <w:rPr>
          <w:rFonts w:hint="eastAsia" w:ascii="仿宋" w:hAnsi="仿宋" w:eastAsia="仿宋" w:cs="仿宋"/>
          <w:b w:val="0"/>
          <w:bCs w:val="0"/>
          <w:color w:val="auto"/>
          <w:kern w:val="2"/>
          <w:sz w:val="28"/>
          <w:szCs w:val="28"/>
          <w:lang w:val="en-US" w:eastAsia="zh-CN" w:bidi="ar-SA"/>
        </w:rPr>
        <w:fldChar w:fldCharType="end"/>
      </w:r>
    </w:p>
    <w:p w14:paraId="23C18F21">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eastAsia" w:cs="仿宋"/>
          <w:b w:val="0"/>
          <w:bCs w:val="0"/>
          <w:color w:val="auto"/>
          <w:kern w:val="2"/>
          <w:sz w:val="28"/>
          <w:szCs w:val="28"/>
          <w:lang w:val="en-US" w:eastAsia="zh-CN" w:bidi="ar-SA"/>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_Toc7448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kern w:val="0"/>
          <w:sz w:val="28"/>
          <w:szCs w:val="28"/>
          <w:lang w:val="en-US" w:eastAsia="zh-CN"/>
        </w:rPr>
        <w:t>第二节   墨玉县</w:t>
      </w:r>
      <w:r>
        <w:rPr>
          <w:rFonts w:hint="eastAsia" w:cs="仿宋"/>
          <w:b w:val="0"/>
          <w:bCs w:val="0"/>
          <w:snapToGrid w:val="0"/>
          <w:color w:val="auto"/>
          <w:kern w:val="0"/>
          <w:sz w:val="28"/>
          <w:szCs w:val="28"/>
          <w:lang w:val="en-US" w:eastAsia="zh-CN"/>
        </w:rPr>
        <w:t>综合防灾减灾建设项目</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21</w:t>
      </w:r>
    </w:p>
    <w:p w14:paraId="42E28701">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eastAsia="仿宋" w:cs="仿宋"/>
          <w:b w:val="0"/>
          <w:bCs w:val="0"/>
          <w:color w:val="auto"/>
          <w:kern w:val="2"/>
          <w:sz w:val="28"/>
          <w:szCs w:val="28"/>
          <w:lang w:val="en-US" w:eastAsia="zh-CN" w:bidi="ar-SA"/>
        </w:rPr>
      </w:pPr>
      <w:r>
        <w:rPr>
          <w:rFonts w:hint="eastAsia" w:cs="仿宋"/>
          <w:b w:val="0"/>
          <w:bCs w:val="0"/>
          <w:color w:val="auto"/>
          <w:kern w:val="2"/>
          <w:sz w:val="28"/>
          <w:szCs w:val="28"/>
          <w:lang w:val="en-US" w:eastAsia="zh-CN" w:bidi="ar-SA"/>
        </w:rPr>
        <w:t>第三节   墨玉县安全生产建设项目</w:t>
      </w:r>
      <w:r>
        <w:rPr>
          <w:rFonts w:hint="eastAsia" w:ascii="仿宋" w:hAnsi="仿宋" w:eastAsia="仿宋" w:cs="仿宋"/>
          <w:b w:val="0"/>
          <w:bCs w:val="0"/>
          <w:color w:val="auto"/>
          <w:sz w:val="28"/>
          <w:szCs w:val="28"/>
        </w:rPr>
        <w:tab/>
      </w:r>
      <w:r>
        <w:rPr>
          <w:rFonts w:hint="eastAsia" w:cs="仿宋"/>
          <w:b w:val="0"/>
          <w:bCs w:val="0"/>
          <w:color w:val="auto"/>
          <w:sz w:val="28"/>
          <w:szCs w:val="28"/>
          <w:lang w:val="en-US" w:eastAsia="zh-CN"/>
        </w:rPr>
        <w:t>22</w:t>
      </w:r>
    </w:p>
    <w:p w14:paraId="306C6F80">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lang w:val="en-US"/>
        </w:rPr>
      </w:pPr>
      <w:r>
        <w:rPr>
          <w:rFonts w:hint="eastAsia" w:cs="仿宋"/>
          <w:b w:val="0"/>
          <w:bCs w:val="0"/>
          <w:color w:val="auto"/>
          <w:kern w:val="2"/>
          <w:sz w:val="28"/>
          <w:szCs w:val="28"/>
          <w:lang w:val="en-US" w:eastAsia="zh-CN" w:bidi="ar-SA"/>
        </w:rPr>
        <w:t>第四节</w:t>
      </w: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_Toc7448 </w:instrText>
      </w:r>
      <w:r>
        <w:rPr>
          <w:rFonts w:hint="eastAsia" w:ascii="仿宋" w:hAnsi="仿宋" w:eastAsia="仿宋" w:cs="仿宋"/>
          <w:b w:val="0"/>
          <w:bCs w:val="0"/>
          <w:color w:val="auto"/>
          <w:kern w:val="2"/>
          <w:sz w:val="28"/>
          <w:szCs w:val="28"/>
          <w:lang w:val="en-US" w:eastAsia="zh-CN" w:bidi="ar-SA"/>
        </w:rPr>
        <w:fldChar w:fldCharType="separate"/>
      </w:r>
      <w:r>
        <w:rPr>
          <w:rFonts w:hint="eastAsia" w:cs="仿宋"/>
          <w:b w:val="0"/>
          <w:bCs w:val="0"/>
          <w:color w:val="auto"/>
          <w:kern w:val="2"/>
          <w:sz w:val="28"/>
          <w:szCs w:val="28"/>
          <w:lang w:val="en-US" w:eastAsia="zh-CN" w:bidi="ar-SA"/>
        </w:rPr>
        <w:t xml:space="preserve"> </w:t>
      </w:r>
      <w:r>
        <w:rPr>
          <w:rFonts w:hint="eastAsia" w:ascii="仿宋" w:hAnsi="仿宋" w:eastAsia="仿宋" w:cs="仿宋"/>
          <w:b w:val="0"/>
          <w:bCs w:val="0"/>
          <w:snapToGrid w:val="0"/>
          <w:color w:val="auto"/>
          <w:kern w:val="0"/>
          <w:sz w:val="28"/>
          <w:szCs w:val="28"/>
          <w:lang w:val="en-US" w:eastAsia="zh-CN"/>
        </w:rPr>
        <w:t xml:space="preserve">  </w:t>
      </w:r>
      <w:r>
        <w:rPr>
          <w:rFonts w:hint="eastAsia" w:cs="仿宋"/>
          <w:b w:val="0"/>
          <w:bCs w:val="0"/>
          <w:snapToGrid w:val="0"/>
          <w:color w:val="auto"/>
          <w:kern w:val="0"/>
          <w:sz w:val="28"/>
          <w:szCs w:val="28"/>
          <w:lang w:val="en-US" w:eastAsia="zh-CN"/>
        </w:rPr>
        <w:t>应急平台前端感知数字化、智能化升级工程.......</w:t>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22</w:t>
      </w:r>
    </w:p>
    <w:p w14:paraId="6ADC34CC">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textAlignment w:val="auto"/>
        <w:rPr>
          <w:rFonts w:hint="default" w:ascii="仿宋" w:hAnsi="仿宋" w:eastAsia="仿宋" w:cs="仿宋"/>
          <w:b/>
          <w:bCs/>
          <w:color w:val="auto"/>
          <w:sz w:val="28"/>
          <w:szCs w:val="28"/>
          <w:lang w:val="en-US"/>
        </w:rPr>
      </w:pPr>
      <w:r>
        <w:rPr>
          <w:rFonts w:hint="eastAsia" w:ascii="仿宋" w:hAnsi="仿宋" w:eastAsia="仿宋" w:cs="仿宋"/>
          <w:b/>
          <w:bCs/>
          <w:color w:val="auto"/>
          <w:kern w:val="2"/>
          <w:sz w:val="28"/>
          <w:szCs w:val="28"/>
          <w:lang w:val="en-US" w:eastAsia="zh-CN" w:bidi="ar-SA"/>
        </w:rPr>
        <w:fldChar w:fldCharType="begin"/>
      </w:r>
      <w:r>
        <w:rPr>
          <w:rFonts w:hint="eastAsia" w:ascii="仿宋" w:hAnsi="仿宋" w:eastAsia="仿宋" w:cs="仿宋"/>
          <w:b/>
          <w:bCs/>
          <w:color w:val="auto"/>
          <w:kern w:val="2"/>
          <w:sz w:val="28"/>
          <w:szCs w:val="28"/>
          <w:lang w:val="en-US" w:eastAsia="zh-CN" w:bidi="ar-SA"/>
        </w:rPr>
        <w:instrText xml:space="preserve"> HYPERLINK \l _Toc9123 </w:instrText>
      </w:r>
      <w:r>
        <w:rPr>
          <w:rFonts w:hint="eastAsia" w:ascii="仿宋" w:hAnsi="仿宋" w:eastAsia="仿宋" w:cs="仿宋"/>
          <w:b/>
          <w:bCs/>
          <w:color w:val="auto"/>
          <w:kern w:val="2"/>
          <w:sz w:val="28"/>
          <w:szCs w:val="28"/>
          <w:lang w:val="en-US" w:eastAsia="zh-CN" w:bidi="ar-SA"/>
        </w:rPr>
        <w:fldChar w:fldCharType="separate"/>
      </w:r>
      <w:r>
        <w:rPr>
          <w:rFonts w:hint="eastAsia" w:ascii="仿宋" w:hAnsi="仿宋" w:eastAsia="仿宋" w:cs="仿宋"/>
          <w:b/>
          <w:bCs/>
          <w:snapToGrid w:val="0"/>
          <w:color w:val="auto"/>
          <w:spacing w:val="14"/>
          <w:kern w:val="0"/>
          <w:sz w:val="28"/>
          <w:szCs w:val="28"/>
          <w:lang w:val="en-US" w:eastAsia="zh-CN"/>
        </w:rPr>
        <w:t>第五章  保障措施</w:t>
      </w:r>
      <w:r>
        <w:rPr>
          <w:rFonts w:hint="eastAsia" w:ascii="仿宋" w:hAnsi="仿宋" w:eastAsia="仿宋" w:cs="仿宋"/>
          <w:b/>
          <w:bCs/>
          <w:color w:val="auto"/>
          <w:sz w:val="28"/>
          <w:szCs w:val="28"/>
        </w:rPr>
        <w:tab/>
      </w:r>
      <w:r>
        <w:rPr>
          <w:rFonts w:hint="eastAsia" w:ascii="仿宋" w:hAnsi="仿宋" w:eastAsia="仿宋" w:cs="仿宋"/>
          <w:b/>
          <w:bCs/>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25</w:t>
      </w:r>
    </w:p>
    <w:p w14:paraId="6C9E549B">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_Toc4598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14"/>
          <w:kern w:val="0"/>
          <w:sz w:val="28"/>
          <w:szCs w:val="28"/>
          <w:lang w:val="en-US" w:eastAsia="zh-CN"/>
        </w:rPr>
        <w:t>第一节  组织保障</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25</w:t>
      </w:r>
    </w:p>
    <w:p w14:paraId="4DC9CC00">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_Toc16488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4"/>
          <w:kern w:val="0"/>
          <w:sz w:val="28"/>
          <w:szCs w:val="28"/>
          <w:lang w:val="en-US" w:eastAsia="zh-CN"/>
        </w:rPr>
        <w:t>第二节  完善体制机制，健全制度体系</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25</w:t>
      </w:r>
    </w:p>
    <w:p w14:paraId="22FB5256">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eastAsia" w:ascii="仿宋" w:hAnsi="仿宋" w:eastAsia="仿宋" w:cs="仿宋"/>
          <w:b w:val="0"/>
          <w:bCs w:val="0"/>
          <w:color w:val="auto"/>
          <w:kern w:val="2"/>
          <w:sz w:val="28"/>
          <w:szCs w:val="28"/>
          <w:lang w:val="en-US" w:eastAsia="zh-CN" w:bidi="ar-SA"/>
        </w:rPr>
        <w:sectPr>
          <w:footerReference r:id="rId6" w:type="default"/>
          <w:pgSz w:w="11906" w:h="16838"/>
          <w:pgMar w:top="2098" w:right="1474" w:bottom="1984" w:left="1587" w:header="851" w:footer="992" w:gutter="0"/>
          <w:pgNumType w:fmt="decimal" w:start="1"/>
          <w:cols w:space="720" w:num="1"/>
          <w:rtlGutter w:val="0"/>
          <w:docGrid w:type="linesAndChars" w:linePitch="579" w:charSpace="0"/>
        </w:sectPr>
      </w:pPr>
    </w:p>
    <w:p w14:paraId="5C0074FE">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_Toc31612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4"/>
          <w:kern w:val="0"/>
          <w:sz w:val="28"/>
          <w:szCs w:val="28"/>
          <w:lang w:val="en-US" w:eastAsia="zh-CN"/>
        </w:rPr>
        <w:t>第三节  强化队伍建设，提升专业能力</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kern w:val="2"/>
          <w:sz w:val="28"/>
          <w:szCs w:val="28"/>
          <w:lang w:val="en-US" w:eastAsia="zh-CN" w:bidi="ar-SA"/>
        </w:rPr>
        <w:fldChar w:fldCharType="end"/>
      </w:r>
      <w:r>
        <w:rPr>
          <w:rFonts w:hint="eastAsia" w:cs="仿宋"/>
          <w:b w:val="0"/>
          <w:bCs w:val="0"/>
          <w:color w:val="auto"/>
          <w:kern w:val="2"/>
          <w:sz w:val="28"/>
          <w:szCs w:val="28"/>
          <w:lang w:val="en-US" w:eastAsia="zh-CN" w:bidi="ar-SA"/>
        </w:rPr>
        <w:t>26</w:t>
      </w:r>
    </w:p>
    <w:p w14:paraId="7676DFA6">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eastAsia" w:ascii="仿宋" w:hAnsi="仿宋" w:eastAsia="仿宋" w:cs="仿宋"/>
          <w:b w:val="0"/>
          <w:bCs w:val="0"/>
          <w:color w:val="auto"/>
          <w:sz w:val="28"/>
          <w:szCs w:val="28"/>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_Toc7924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4"/>
          <w:kern w:val="0"/>
          <w:sz w:val="28"/>
          <w:szCs w:val="28"/>
          <w:lang w:val="en-US" w:eastAsia="zh-CN"/>
        </w:rPr>
        <w:t>第四节  加大资金投入，强化要素保障</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sz w:val="28"/>
          <w:szCs w:val="28"/>
        </w:rPr>
        <w:fldChar w:fldCharType="begin"/>
      </w:r>
      <w:r>
        <w:rPr>
          <w:rFonts w:hint="eastAsia" w:ascii="仿宋" w:hAnsi="仿宋" w:eastAsia="仿宋" w:cs="仿宋"/>
          <w:b w:val="0"/>
          <w:bCs w:val="0"/>
          <w:color w:val="auto"/>
          <w:sz w:val="28"/>
          <w:szCs w:val="28"/>
        </w:rPr>
        <w:instrText xml:space="preserve"> PAGEREF _Toc7924 \h </w:instrText>
      </w:r>
      <w:r>
        <w:rPr>
          <w:rFonts w:hint="eastAsia" w:ascii="仿宋" w:hAnsi="仿宋" w:eastAsia="仿宋" w:cs="仿宋"/>
          <w:b w:val="0"/>
          <w:bCs w:val="0"/>
          <w:color w:val="auto"/>
          <w:sz w:val="28"/>
          <w:szCs w:val="28"/>
        </w:rPr>
        <w:fldChar w:fldCharType="separate"/>
      </w:r>
      <w:r>
        <w:rPr>
          <w:rFonts w:hint="eastAsia" w:ascii="仿宋" w:hAnsi="仿宋" w:eastAsia="仿宋" w:cs="仿宋"/>
          <w:b w:val="0"/>
          <w:bCs w:val="0"/>
          <w:color w:val="auto"/>
          <w:sz w:val="28"/>
          <w:szCs w:val="28"/>
        </w:rPr>
        <w:t>27</w:t>
      </w:r>
      <w:r>
        <w:rPr>
          <w:rFonts w:hint="eastAsia" w:ascii="仿宋" w:hAnsi="仿宋" w:eastAsia="仿宋" w:cs="仿宋"/>
          <w:b w:val="0"/>
          <w:bCs w:val="0"/>
          <w:color w:val="auto"/>
          <w:sz w:val="28"/>
          <w:szCs w:val="28"/>
        </w:rPr>
        <w:fldChar w:fldCharType="end"/>
      </w:r>
      <w:r>
        <w:rPr>
          <w:rFonts w:hint="eastAsia" w:ascii="仿宋" w:hAnsi="仿宋" w:eastAsia="仿宋" w:cs="仿宋"/>
          <w:b w:val="0"/>
          <w:bCs w:val="0"/>
          <w:color w:val="auto"/>
          <w:kern w:val="2"/>
          <w:sz w:val="28"/>
          <w:szCs w:val="28"/>
          <w:lang w:val="en-US" w:eastAsia="zh-CN" w:bidi="ar-SA"/>
        </w:rPr>
        <w:fldChar w:fldCharType="end"/>
      </w:r>
    </w:p>
    <w:p w14:paraId="3B00D1D0">
      <w:pPr>
        <w:pStyle w:val="26"/>
        <w:keepNext w:val="0"/>
        <w:keepLines w:val="0"/>
        <w:pageBreakBefore w:val="0"/>
        <w:widowControl w:val="0"/>
        <w:tabs>
          <w:tab w:val="right" w:leader="dot" w:pos="8306"/>
        </w:tabs>
        <w:kinsoku/>
        <w:wordWrap/>
        <w:overflowPunct/>
        <w:topLinePunct w:val="0"/>
        <w:autoSpaceDE/>
        <w:autoSpaceDN/>
        <w:bidi w:val="0"/>
        <w:adjustRightInd w:val="0"/>
        <w:snapToGrid w:val="0"/>
        <w:spacing w:line="576" w:lineRule="exact"/>
        <w:ind w:firstLine="804" w:firstLineChars="300"/>
        <w:textAlignment w:val="auto"/>
        <w:rPr>
          <w:rFonts w:hint="default"/>
          <w:color w:val="auto"/>
          <w:lang w:val="en-US"/>
        </w:rPr>
      </w:pPr>
      <w:r>
        <w:rPr>
          <w:rFonts w:hint="eastAsia" w:ascii="仿宋" w:hAnsi="仿宋" w:eastAsia="仿宋" w:cs="仿宋"/>
          <w:b w:val="0"/>
          <w:bCs w:val="0"/>
          <w:color w:val="auto"/>
          <w:kern w:val="2"/>
          <w:sz w:val="28"/>
          <w:szCs w:val="28"/>
          <w:lang w:val="en-US" w:eastAsia="zh-CN" w:bidi="ar-SA"/>
        </w:rPr>
        <w:fldChar w:fldCharType="begin"/>
      </w:r>
      <w:r>
        <w:rPr>
          <w:rFonts w:hint="eastAsia" w:ascii="仿宋" w:hAnsi="仿宋" w:eastAsia="仿宋" w:cs="仿宋"/>
          <w:b w:val="0"/>
          <w:bCs w:val="0"/>
          <w:color w:val="auto"/>
          <w:kern w:val="2"/>
          <w:sz w:val="28"/>
          <w:szCs w:val="28"/>
          <w:lang w:val="en-US" w:eastAsia="zh-CN" w:bidi="ar-SA"/>
        </w:rPr>
        <w:instrText xml:space="preserve"> HYPERLINK \l _Toc32416 </w:instrText>
      </w:r>
      <w:r>
        <w:rPr>
          <w:rFonts w:hint="eastAsia" w:ascii="仿宋" w:hAnsi="仿宋" w:eastAsia="仿宋" w:cs="仿宋"/>
          <w:b w:val="0"/>
          <w:bCs w:val="0"/>
          <w:color w:val="auto"/>
          <w:kern w:val="2"/>
          <w:sz w:val="28"/>
          <w:szCs w:val="28"/>
          <w:lang w:val="en-US" w:eastAsia="zh-CN" w:bidi="ar-SA"/>
        </w:rPr>
        <w:fldChar w:fldCharType="separate"/>
      </w:r>
      <w:r>
        <w:rPr>
          <w:rFonts w:hint="eastAsia" w:ascii="仿宋" w:hAnsi="仿宋" w:eastAsia="仿宋" w:cs="仿宋"/>
          <w:b w:val="0"/>
          <w:bCs w:val="0"/>
          <w:snapToGrid w:val="0"/>
          <w:color w:val="auto"/>
          <w:spacing w:val="4"/>
          <w:kern w:val="0"/>
          <w:sz w:val="28"/>
          <w:szCs w:val="28"/>
          <w:lang w:val="en-US" w:eastAsia="zh-CN"/>
        </w:rPr>
        <w:t>第五节  完善考核评估，强化督导问责</w:t>
      </w:r>
      <w:r>
        <w:rPr>
          <w:rFonts w:hint="eastAsia" w:ascii="仿宋" w:hAnsi="仿宋" w:eastAsia="仿宋" w:cs="仿宋"/>
          <w:b w:val="0"/>
          <w:bCs w:val="0"/>
          <w:color w:val="auto"/>
          <w:sz w:val="28"/>
          <w:szCs w:val="28"/>
        </w:rPr>
        <w:tab/>
      </w:r>
      <w:r>
        <w:rPr>
          <w:rFonts w:hint="eastAsia" w:ascii="仿宋" w:hAnsi="仿宋" w:eastAsia="仿宋" w:cs="仿宋"/>
          <w:b w:val="0"/>
          <w:bCs w:val="0"/>
          <w:color w:val="auto"/>
          <w:sz w:val="28"/>
          <w:szCs w:val="28"/>
        </w:rPr>
        <w:fldChar w:fldCharType="begin"/>
      </w:r>
      <w:r>
        <w:rPr>
          <w:rFonts w:hint="eastAsia" w:ascii="仿宋" w:hAnsi="仿宋" w:eastAsia="仿宋" w:cs="仿宋"/>
          <w:b w:val="0"/>
          <w:bCs w:val="0"/>
          <w:color w:val="auto"/>
          <w:sz w:val="28"/>
          <w:szCs w:val="28"/>
        </w:rPr>
        <w:instrText xml:space="preserve"> PAGEREF _Toc32416 \h </w:instrText>
      </w:r>
      <w:r>
        <w:rPr>
          <w:rFonts w:hint="eastAsia" w:ascii="仿宋" w:hAnsi="仿宋" w:eastAsia="仿宋" w:cs="仿宋"/>
          <w:b w:val="0"/>
          <w:bCs w:val="0"/>
          <w:color w:val="auto"/>
          <w:sz w:val="28"/>
          <w:szCs w:val="28"/>
        </w:rPr>
        <w:fldChar w:fldCharType="separate"/>
      </w:r>
      <w:r>
        <w:rPr>
          <w:rFonts w:hint="eastAsia" w:ascii="仿宋" w:hAnsi="仿宋" w:eastAsia="仿宋" w:cs="仿宋"/>
          <w:b w:val="0"/>
          <w:bCs w:val="0"/>
          <w:color w:val="auto"/>
          <w:sz w:val="28"/>
          <w:szCs w:val="28"/>
        </w:rPr>
        <w:t>27</w:t>
      </w:r>
      <w:r>
        <w:rPr>
          <w:rFonts w:hint="eastAsia" w:ascii="仿宋" w:hAnsi="仿宋" w:eastAsia="仿宋" w:cs="仿宋"/>
          <w:b w:val="0"/>
          <w:bCs w:val="0"/>
          <w:color w:val="auto"/>
          <w:sz w:val="28"/>
          <w:szCs w:val="28"/>
        </w:rPr>
        <w:fldChar w:fldCharType="end"/>
      </w:r>
      <w:r>
        <w:rPr>
          <w:rFonts w:hint="eastAsia" w:ascii="仿宋" w:hAnsi="仿宋" w:eastAsia="仿宋" w:cs="仿宋"/>
          <w:b w:val="0"/>
          <w:bCs w:val="0"/>
          <w:color w:val="auto"/>
          <w:kern w:val="2"/>
          <w:sz w:val="28"/>
          <w:szCs w:val="28"/>
          <w:lang w:val="en-US" w:eastAsia="zh-CN" w:bidi="ar-SA"/>
        </w:rPr>
        <w:fldChar w:fldCharType="end"/>
      </w:r>
    </w:p>
    <w:p w14:paraId="734DD7B5">
      <w:pPr>
        <w:keepNext w:val="0"/>
        <w:keepLines w:val="0"/>
        <w:pageBreakBefore w:val="0"/>
        <w:widowControl w:val="0"/>
        <w:kinsoku/>
        <w:wordWrap/>
        <w:overflowPunct/>
        <w:topLinePunct w:val="0"/>
        <w:autoSpaceDE/>
        <w:autoSpaceDN/>
        <w:bidi w:val="0"/>
        <w:adjustRightInd w:val="0"/>
        <w:snapToGrid w:val="0"/>
        <w:spacing w:before="0" w:beforeLines="0" w:after="0" w:afterLines="0" w:line="576" w:lineRule="exact"/>
        <w:ind w:left="0" w:leftChars="0" w:right="0" w:rightChars="0" w:firstLine="0" w:firstLineChars="0"/>
        <w:jc w:val="both"/>
        <w:textAlignment w:val="auto"/>
        <w:rPr>
          <w:rFonts w:ascii="黑体" w:hAnsi="黑体" w:eastAsia="黑体" w:cs="Times New Roman"/>
          <w:color w:val="auto"/>
          <w:kern w:val="2"/>
          <w:sz w:val="24"/>
          <w:szCs w:val="24"/>
          <w:lang w:val="en-US" w:eastAsia="zh-CN" w:bidi="ar-SA"/>
        </w:rPr>
      </w:pPr>
      <w:r>
        <w:rPr>
          <w:rFonts w:ascii="黑体" w:hAnsi="黑体" w:eastAsia="黑体" w:cs="Times New Roman"/>
          <w:color w:val="auto"/>
          <w:kern w:val="2"/>
          <w:szCs w:val="24"/>
          <w:lang w:val="en-US" w:eastAsia="zh-CN" w:bidi="ar-SA"/>
        </w:rPr>
        <w:fldChar w:fldCharType="end"/>
      </w:r>
    </w:p>
    <w:p w14:paraId="1B15BCD4">
      <w:pPr>
        <w:spacing w:before="184" w:line="240" w:lineRule="auto"/>
        <w:ind w:firstLine="1236" w:firstLineChars="300"/>
        <w:jc w:val="both"/>
        <w:rPr>
          <w:rFonts w:ascii="微软雅黑" w:hAnsi="微软雅黑" w:eastAsia="微软雅黑" w:cs="微软雅黑"/>
          <w:color w:val="auto"/>
          <w:spacing w:val="-9"/>
          <w:sz w:val="43"/>
          <w:szCs w:val="43"/>
        </w:rPr>
      </w:pPr>
    </w:p>
    <w:p w14:paraId="488C5CA9">
      <w:pPr>
        <w:bidi w:val="0"/>
        <w:rPr>
          <w:rFonts w:ascii="黑体" w:hAnsi="黑体" w:eastAsia="黑体" w:cs="Times New Roman"/>
          <w:color w:val="auto"/>
          <w:kern w:val="2"/>
          <w:sz w:val="21"/>
          <w:szCs w:val="21"/>
          <w:lang w:val="en-US" w:eastAsia="zh-CN" w:bidi="ar-SA"/>
        </w:rPr>
      </w:pPr>
    </w:p>
    <w:p w14:paraId="6C4CAB61">
      <w:pPr>
        <w:tabs>
          <w:tab w:val="left" w:pos="5961"/>
        </w:tabs>
        <w:bidi w:val="0"/>
        <w:jc w:val="left"/>
        <w:rPr>
          <w:color w:val="auto"/>
          <w:lang w:val="en-US" w:eastAsia="zh-CN"/>
        </w:rPr>
        <w:sectPr>
          <w:footerReference r:id="rId7" w:type="default"/>
          <w:pgSz w:w="11906" w:h="16838"/>
          <w:pgMar w:top="2098" w:right="1474" w:bottom="1984" w:left="1587" w:header="851" w:footer="992" w:gutter="0"/>
          <w:pgNumType w:fmt="decimal" w:start="1"/>
          <w:cols w:space="720" w:num="1"/>
          <w:rtlGutter w:val="0"/>
          <w:docGrid w:type="linesAndChars" w:linePitch="579" w:charSpace="0"/>
        </w:sectPr>
      </w:pPr>
      <w:r>
        <w:rPr>
          <w:rFonts w:hint="eastAsia"/>
          <w:color w:val="auto"/>
          <w:lang w:val="en-US" w:eastAsia="zh-CN"/>
        </w:rPr>
        <w:tab/>
      </w:r>
    </w:p>
    <w:p w14:paraId="53373F8A">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snapToGrid w:val="0"/>
          <w:color w:val="auto"/>
          <w:spacing w:val="-6"/>
          <w:sz w:val="44"/>
          <w:szCs w:val="44"/>
          <w:lang w:val="en-US" w:eastAsia="zh-CN"/>
        </w:rPr>
      </w:pPr>
      <w:r>
        <w:rPr>
          <w:rFonts w:hint="eastAsia" w:ascii="方正小标宋简体" w:hAnsi="方正小标宋简体" w:eastAsia="方正小标宋简体" w:cs="方正小标宋简体"/>
          <w:snapToGrid w:val="0"/>
          <w:color w:val="auto"/>
          <w:spacing w:val="-6"/>
          <w:sz w:val="44"/>
          <w:szCs w:val="44"/>
          <w:lang w:val="en-US" w:eastAsia="zh-CN"/>
        </w:rPr>
        <w:t>墨玉县应急管理体系建设</w:t>
      </w:r>
    </w:p>
    <w:p w14:paraId="08D1425F">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snapToGrid w:val="0"/>
          <w:color w:val="auto"/>
          <w:spacing w:val="-6"/>
          <w:sz w:val="44"/>
          <w:szCs w:val="44"/>
          <w:lang w:val="en-US" w:eastAsia="zh-CN"/>
        </w:rPr>
      </w:pPr>
      <w:r>
        <w:rPr>
          <w:rFonts w:hint="eastAsia" w:ascii="方正小标宋简体" w:hAnsi="方正小标宋简体" w:eastAsia="方正小标宋简体" w:cs="方正小标宋简体"/>
          <w:snapToGrid w:val="0"/>
          <w:color w:val="auto"/>
          <w:spacing w:val="-6"/>
          <w:sz w:val="44"/>
          <w:szCs w:val="44"/>
          <w:lang w:val="en-US" w:eastAsia="zh-CN"/>
        </w:rPr>
        <w:t>“十五五”实施方案</w:t>
      </w:r>
      <w:r>
        <w:rPr>
          <w:rFonts w:hint="eastAsia" w:ascii="方正小标宋简体" w:hAnsi="方正小标宋简体" w:eastAsia="方正小标宋简体" w:cs="方正小标宋简体"/>
          <w:snapToGrid w:val="0"/>
          <w:color w:val="auto"/>
          <w:spacing w:val="-6"/>
          <w:sz w:val="44"/>
          <w:szCs w:val="44"/>
          <w:lang w:val="en-US" w:eastAsia="zh-CN"/>
        </w:rPr>
        <w:t>（2026—2030年）</w:t>
      </w:r>
    </w:p>
    <w:p w14:paraId="01D9D7FF">
      <w:pPr>
        <w:keepNext w:val="0"/>
        <w:keepLines w:val="0"/>
        <w:pageBreakBefore w:val="0"/>
        <w:widowControl w:val="0"/>
        <w:kinsoku/>
        <w:wordWrap/>
        <w:overflowPunct/>
        <w:topLinePunct w:val="0"/>
        <w:autoSpaceDE/>
        <w:autoSpaceDN/>
        <w:bidi w:val="0"/>
        <w:adjustRightInd w:val="0"/>
        <w:snapToGrid w:val="0"/>
        <w:spacing w:after="0" w:afterLines="-2147483648" w:line="560" w:lineRule="exact"/>
        <w:ind w:firstLine="0" w:firstLineChars="0"/>
        <w:jc w:val="center"/>
        <w:textAlignment w:val="auto"/>
        <w:outlineLvl w:val="0"/>
        <w:rPr>
          <w:rFonts w:hint="default" w:ascii="方正小标宋简体" w:hAnsi="方正小标宋简体" w:eastAsia="方正小标宋简体" w:cs="方正小标宋简体"/>
          <w:snapToGrid w:val="0"/>
          <w:color w:val="auto"/>
          <w:spacing w:val="-6"/>
          <w:sz w:val="44"/>
          <w:szCs w:val="44"/>
          <w:lang w:val="en-US" w:eastAsia="zh-CN"/>
        </w:rPr>
      </w:pPr>
    </w:p>
    <w:p w14:paraId="1093231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eastAsia="zh-CN"/>
        </w:rPr>
        <w:t>　</w:t>
      </w:r>
      <w:r>
        <w:rPr>
          <w:rFonts w:hint="eastAsia" w:ascii="仿宋_GB2312" w:hAnsi="仿宋_GB2312" w:eastAsia="仿宋_GB2312" w:cs="仿宋_GB2312"/>
          <w:snapToGrid w:val="0"/>
          <w:color w:val="auto"/>
          <w:spacing w:val="13"/>
          <w:kern w:val="0"/>
          <w:sz w:val="32"/>
          <w:szCs w:val="32"/>
          <w:lang w:eastAsia="zh-CN"/>
        </w:rPr>
        <w:t>　“</w:t>
      </w:r>
      <w:r>
        <w:rPr>
          <w:rFonts w:hint="eastAsia" w:ascii="仿宋_GB2312" w:hAnsi="仿宋_GB2312" w:eastAsia="仿宋_GB2312" w:cs="仿宋_GB2312"/>
          <w:snapToGrid w:val="0"/>
          <w:color w:val="auto"/>
          <w:spacing w:val="13"/>
          <w:kern w:val="0"/>
          <w:sz w:val="32"/>
          <w:szCs w:val="32"/>
          <w:lang w:val="en-US" w:eastAsia="zh-CN"/>
        </w:rPr>
        <w:t>十五五”时期在基本实现社会主义现代化进程中居于承前启后的重要地位，是为实现</w:t>
      </w:r>
      <w:r>
        <w:rPr>
          <w:rFonts w:hint="default" w:ascii="Times New Roman" w:hAnsi="Times New Roman" w:eastAsia="仿宋_GB2312" w:cs="Times New Roman"/>
          <w:snapToGrid w:val="0"/>
          <w:color w:val="auto"/>
          <w:spacing w:val="13"/>
          <w:kern w:val="0"/>
          <w:sz w:val="32"/>
          <w:szCs w:val="32"/>
          <w:lang w:val="en-US" w:eastAsia="zh-CN"/>
        </w:rPr>
        <w:t>2035</w:t>
      </w:r>
      <w:r>
        <w:rPr>
          <w:rFonts w:hint="eastAsia" w:ascii="仿宋_GB2312" w:hAnsi="仿宋_GB2312" w:eastAsia="仿宋_GB2312" w:cs="仿宋_GB2312"/>
          <w:snapToGrid w:val="0"/>
          <w:color w:val="auto"/>
          <w:spacing w:val="13"/>
          <w:kern w:val="0"/>
          <w:sz w:val="32"/>
          <w:szCs w:val="32"/>
          <w:lang w:val="en-US" w:eastAsia="zh-CN"/>
        </w:rPr>
        <w:t>年基本实现社会主义现代化奋斗目标夯实基础、全面发力攻坚的关键阶段，是推动自治区社会稳定和长治久安总目标持续深化、巩固提升的重要时期，也是墨玉县加快推进应急管理体系和能力建设的攻坚时期。为深入贯彻落实习近平总书记关于应急管理、防灾减灾救灾、安全生产等重要论述精神，扎实推进墨玉县应急管理事业适应新形势、新任务、新要求，坚决遏制重特大事故发生，最大限度降低自然灾害风险，切实保障人民群众生命财产安全，促进我县应急管理体系和能力建设，依据《中华人民共和国突发事件应对法》《中华人民共和国安全生产法》和自治区、和田地区《应急体系建设“十五五”规划》《安全生产“十五五”规划》《综合防灾减灾“十五五”规划》等相关法律法规和文件，结合墨玉县实际制定本实施方案。</w:t>
      </w:r>
    </w:p>
    <w:p w14:paraId="59D51384">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firstLine="2656" w:firstLineChars="800"/>
        <w:jc w:val="both"/>
        <w:textAlignment w:val="baseline"/>
        <w:outlineLvl w:val="0"/>
        <w:rPr>
          <w:rFonts w:hint="default" w:ascii="黑体" w:hAnsi="黑体" w:eastAsia="黑体" w:cs="黑体"/>
          <w:snapToGrid w:val="0"/>
          <w:color w:val="auto"/>
          <w:spacing w:val="6"/>
          <w:kern w:val="0"/>
          <w:position w:val="1"/>
          <w:sz w:val="31"/>
          <w:szCs w:val="31"/>
          <w:lang w:val="en-US" w:eastAsia="zh-CN"/>
        </w:rPr>
      </w:pPr>
      <w:bookmarkStart w:id="0" w:name="_Toc2548"/>
      <w:bookmarkStart w:id="1" w:name="_Toc5566"/>
      <w:bookmarkStart w:id="2" w:name="_Toc23127"/>
      <w:r>
        <w:rPr>
          <w:rFonts w:hint="eastAsia" w:ascii="黑体" w:hAnsi="黑体" w:eastAsia="黑体" w:cs="黑体"/>
          <w:snapToGrid w:val="0"/>
          <w:color w:val="auto"/>
          <w:spacing w:val="6"/>
          <w:kern w:val="0"/>
          <w:position w:val="1"/>
          <w:sz w:val="32"/>
          <w:szCs w:val="32"/>
          <w:lang w:val="en-US" w:eastAsia="zh-CN"/>
        </w:rPr>
        <w:t>第一章</w:t>
      </w:r>
      <w:bookmarkEnd w:id="0"/>
      <w:r>
        <w:rPr>
          <w:rFonts w:hint="eastAsia" w:cs="黑体"/>
          <w:snapToGrid w:val="0"/>
          <w:color w:val="auto"/>
          <w:spacing w:val="6"/>
          <w:kern w:val="0"/>
          <w:position w:val="1"/>
          <w:sz w:val="32"/>
          <w:szCs w:val="32"/>
          <w:lang w:val="en-US" w:eastAsia="zh-CN"/>
        </w:rPr>
        <w:t xml:space="preserve">  </w:t>
      </w:r>
      <w:r>
        <w:rPr>
          <w:rFonts w:hint="eastAsia" w:ascii="黑体" w:hAnsi="黑体" w:eastAsia="黑体" w:cs="黑体"/>
          <w:snapToGrid w:val="0"/>
          <w:color w:val="auto"/>
          <w:spacing w:val="6"/>
          <w:kern w:val="0"/>
          <w:position w:val="1"/>
          <w:sz w:val="32"/>
          <w:szCs w:val="32"/>
          <w:lang w:val="en-US" w:eastAsia="zh-CN"/>
        </w:rPr>
        <w:t>现状与形势</w:t>
      </w:r>
      <w:bookmarkEnd w:id="1"/>
      <w:bookmarkEnd w:id="2"/>
    </w:p>
    <w:p w14:paraId="39385D7D">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bookmarkStart w:id="3" w:name="_Toc20413"/>
      <w:bookmarkStart w:id="4" w:name="_Toc18545"/>
      <w:bookmarkStart w:id="5" w:name="_Toc9094"/>
      <w:r>
        <w:rPr>
          <w:rFonts w:hint="eastAsia" w:ascii="方正楷体简体" w:hAnsi="方正楷体简体" w:eastAsia="方正楷体简体" w:cs="方正楷体简体"/>
          <w:b/>
          <w:bCs/>
          <w:snapToGrid w:val="0"/>
          <w:color w:val="auto"/>
          <w:spacing w:val="3"/>
          <w:kern w:val="0"/>
          <w:sz w:val="32"/>
          <w:szCs w:val="32"/>
          <w:lang w:val="en-US" w:eastAsia="zh-CN"/>
        </w:rPr>
        <w:t>第一节  “十四五”期间取得的成效</w:t>
      </w:r>
      <w:bookmarkEnd w:id="3"/>
      <w:bookmarkEnd w:id="4"/>
      <w:bookmarkEnd w:id="5"/>
    </w:p>
    <w:p w14:paraId="5C0AF671">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firstLine="0" w:firstLineChars="0"/>
        <w:jc w:val="both"/>
        <w:textAlignment w:val="baseline"/>
        <w:rPr>
          <w:rFonts w:hint="eastAsia" w:ascii="仿宋" w:hAnsi="仿宋" w:eastAsia="仿宋" w:cs="仿宋"/>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snapToGrid w:val="0"/>
          <w:color w:val="auto"/>
          <w:spacing w:val="13"/>
          <w:kern w:val="0"/>
          <w:sz w:val="32"/>
          <w:szCs w:val="32"/>
          <w:lang w:val="en-US" w:eastAsia="zh-CN"/>
        </w:rPr>
        <w:t>“十四五”期间，在县委、县政府高度重视和正确领导下，县应急管理局深入贯彻落实习近平总书记关于应急管理、安全生产、防灾减灾救灾等重要论述和指示批示精神，坚决贯彻新时代党的治疆方略，紧紧围绕社会稳定和长治久安总目标，深入推进应急管理体制改革，持续健全安全生产责任体系，强化安全风险分级管控，深化隐患排查治理，坚决防范和遏制重特大生产安全事故，扎实推进防灾减灾救灾能力建设，有力有序有效应对处置了各类自然灾害。</w:t>
      </w:r>
    </w:p>
    <w:p w14:paraId="315584D2">
      <w:pPr>
        <w:keepNext w:val="0"/>
        <w:keepLines w:val="0"/>
        <w:widowControl/>
        <w:suppressLineNumbers w:val="0"/>
        <w:ind w:left="0" w:leftChars="0" w:firstLine="576" w:firstLineChars="200"/>
        <w:jc w:val="left"/>
        <w:rPr>
          <w:rFonts w:hint="eastAsia" w:ascii="方正仿宋_GBK" w:hAnsi="方正仿宋_GBK" w:eastAsia="方正仿宋_GBK" w:cs="方正仿宋_GBK"/>
          <w:snapToGrid w:val="0"/>
          <w:color w:val="auto"/>
          <w:spacing w:val="4"/>
          <w:kern w:val="0"/>
          <w:sz w:val="30"/>
          <w:szCs w:val="30"/>
          <w:lang w:val="en-US" w:eastAsia="zh-CN"/>
        </w:rPr>
      </w:pPr>
      <w:r>
        <w:rPr>
          <w:rFonts w:hint="eastAsia" w:ascii="仿宋_GB2312" w:hAnsi="仿宋_GB2312" w:eastAsia="仿宋_GB2312" w:cs="仿宋_GB2312"/>
          <w:b w:val="0"/>
          <w:bCs w:val="0"/>
          <w:color w:val="auto"/>
          <w:kern w:val="0"/>
          <w:sz w:val="30"/>
          <w:szCs w:val="30"/>
          <w:lang w:val="en-US" w:eastAsia="zh-CN" w:bidi="ar"/>
        </w:rPr>
        <w:t>《墨玉县应急体系建设“十四五”规划》指标进展情况评估表</w:t>
      </w:r>
    </w:p>
    <w:tbl>
      <w:tblPr>
        <w:tblStyle w:val="49"/>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22"/>
        <w:gridCol w:w="773"/>
        <w:gridCol w:w="3710"/>
        <w:gridCol w:w="3117"/>
      </w:tblGrid>
      <w:tr w14:paraId="0C5BA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tblHeader/>
          <w:jc w:val="center"/>
        </w:trPr>
        <w:tc>
          <w:tcPr>
            <w:tcW w:w="922" w:type="dxa"/>
            <w:tcBorders>
              <w:top w:val="single" w:color="auto" w:sz="4" w:space="0"/>
              <w:left w:val="single" w:color="auto" w:sz="4" w:space="0"/>
              <w:bottom w:val="single" w:color="auto" w:sz="4" w:space="0"/>
              <w:right w:val="single" w:color="auto" w:sz="4" w:space="0"/>
            </w:tcBorders>
            <w:noWrap w:val="0"/>
            <w:vAlign w:val="center"/>
          </w:tcPr>
          <w:p w14:paraId="3ADB44B2">
            <w:pPr>
              <w:snapToGrid w:val="0"/>
              <w:spacing w:before="65" w:line="240" w:lineRule="auto"/>
              <w:ind w:left="0" w:leftChars="0" w:right="0" w:rightChars="0" w:firstLine="0" w:firstLineChars="0"/>
              <w:jc w:val="center"/>
              <w:rPr>
                <w:rFonts w:ascii="仿宋" w:hAnsi="仿宋" w:eastAsia="仿宋" w:cs="仿宋"/>
                <w:b/>
                <w:color w:val="auto"/>
                <w:sz w:val="28"/>
                <w:szCs w:val="20"/>
              </w:rPr>
            </w:pPr>
            <w:r>
              <w:rPr>
                <w:rFonts w:ascii="仿宋" w:hAnsi="仿宋" w:eastAsia="仿宋" w:cs="仿宋"/>
                <w:b/>
                <w:bCs/>
                <w:color w:val="auto"/>
                <w:spacing w:val="-1"/>
                <w:sz w:val="28"/>
                <w:szCs w:val="20"/>
              </w:rPr>
              <w:t>分类</w:t>
            </w:r>
          </w:p>
        </w:tc>
        <w:tc>
          <w:tcPr>
            <w:tcW w:w="773" w:type="dxa"/>
            <w:tcBorders>
              <w:top w:val="single" w:color="auto" w:sz="4" w:space="0"/>
              <w:left w:val="single" w:color="auto" w:sz="4" w:space="0"/>
              <w:bottom w:val="single" w:color="auto" w:sz="4" w:space="0"/>
              <w:right w:val="single" w:color="auto" w:sz="4" w:space="0"/>
            </w:tcBorders>
            <w:noWrap w:val="0"/>
            <w:vAlign w:val="center"/>
          </w:tcPr>
          <w:p w14:paraId="49449565">
            <w:pPr>
              <w:snapToGrid w:val="0"/>
              <w:spacing w:before="65" w:line="240" w:lineRule="auto"/>
              <w:ind w:left="0" w:leftChars="0" w:right="0" w:rightChars="0" w:firstLine="0" w:firstLineChars="0"/>
              <w:jc w:val="center"/>
              <w:rPr>
                <w:rFonts w:ascii="仿宋" w:hAnsi="仿宋" w:eastAsia="仿宋" w:cs="仿宋"/>
                <w:b/>
                <w:color w:val="auto"/>
                <w:sz w:val="28"/>
                <w:szCs w:val="20"/>
              </w:rPr>
            </w:pPr>
            <w:r>
              <w:rPr>
                <w:rFonts w:ascii="仿宋" w:hAnsi="仿宋" w:eastAsia="仿宋" w:cs="仿宋"/>
                <w:b/>
                <w:bCs/>
                <w:color w:val="auto"/>
                <w:spacing w:val="-1"/>
                <w:sz w:val="28"/>
                <w:szCs w:val="20"/>
              </w:rPr>
              <w:t>序号</w:t>
            </w:r>
          </w:p>
        </w:tc>
        <w:tc>
          <w:tcPr>
            <w:tcW w:w="3710" w:type="dxa"/>
            <w:tcBorders>
              <w:top w:val="single" w:color="auto" w:sz="4" w:space="0"/>
              <w:left w:val="single" w:color="auto" w:sz="4" w:space="0"/>
              <w:bottom w:val="single" w:color="auto" w:sz="4" w:space="0"/>
              <w:right w:val="single" w:color="auto" w:sz="4" w:space="0"/>
            </w:tcBorders>
            <w:noWrap w:val="0"/>
            <w:vAlign w:val="center"/>
          </w:tcPr>
          <w:p w14:paraId="3991903D">
            <w:pPr>
              <w:snapToGrid w:val="0"/>
              <w:spacing w:before="65" w:line="240" w:lineRule="auto"/>
              <w:ind w:left="0" w:leftChars="0" w:right="0" w:rightChars="0" w:firstLine="0" w:firstLineChars="0"/>
              <w:jc w:val="center"/>
              <w:rPr>
                <w:rFonts w:ascii="仿宋" w:hAnsi="仿宋" w:eastAsia="仿宋" w:cs="仿宋"/>
                <w:b/>
                <w:color w:val="auto"/>
                <w:sz w:val="28"/>
                <w:szCs w:val="28"/>
              </w:rPr>
            </w:pPr>
            <w:r>
              <w:rPr>
                <w:rFonts w:ascii="仿宋" w:hAnsi="仿宋" w:eastAsia="仿宋" w:cs="仿宋"/>
                <w:b/>
                <w:bCs/>
                <w:color w:val="auto"/>
                <w:spacing w:val="5"/>
                <w:sz w:val="28"/>
                <w:szCs w:val="28"/>
              </w:rPr>
              <w:t>指标名称</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6A57B823">
            <w:pPr>
              <w:snapToGrid w:val="0"/>
              <w:spacing w:before="88" w:line="240" w:lineRule="auto"/>
              <w:ind w:left="0" w:leftChars="0" w:right="0" w:rightChars="0" w:firstLine="0" w:firstLineChars="0"/>
              <w:jc w:val="center"/>
              <w:rPr>
                <w:rFonts w:hint="default" w:ascii="仿宋" w:hAnsi="仿宋" w:eastAsia="仿宋" w:cs="仿宋"/>
                <w:b/>
                <w:bCs/>
                <w:color w:val="auto"/>
                <w:sz w:val="28"/>
                <w:szCs w:val="28"/>
                <w:lang w:val="en-US" w:eastAsia="zh-CN"/>
              </w:rPr>
            </w:pPr>
            <w:r>
              <w:rPr>
                <w:rFonts w:hint="eastAsia" w:ascii="仿宋" w:hAnsi="仿宋" w:eastAsia="仿宋" w:cs="仿宋"/>
                <w:b/>
                <w:bCs/>
                <w:color w:val="auto"/>
                <w:spacing w:val="-1"/>
                <w:sz w:val="28"/>
                <w:szCs w:val="28"/>
                <w:lang w:val="en-US" w:eastAsia="zh-CN"/>
              </w:rPr>
              <w:t>“十四五”期间</w:t>
            </w:r>
            <w:r>
              <w:rPr>
                <w:rFonts w:ascii="仿宋" w:hAnsi="仿宋" w:eastAsia="仿宋" w:cs="仿宋"/>
                <w:b/>
                <w:bCs/>
                <w:color w:val="auto"/>
                <w:spacing w:val="-1"/>
                <w:sz w:val="28"/>
                <w:szCs w:val="28"/>
              </w:rPr>
              <w:t>实</w:t>
            </w:r>
            <w:r>
              <w:rPr>
                <w:rFonts w:ascii="仿宋" w:hAnsi="仿宋" w:eastAsia="仿宋" w:cs="仿宋"/>
                <w:b/>
                <w:bCs/>
                <w:color w:val="auto"/>
                <w:spacing w:val="-4"/>
                <w:sz w:val="28"/>
                <w:szCs w:val="28"/>
              </w:rPr>
              <w:t>际数</w:t>
            </w:r>
            <w:r>
              <w:rPr>
                <w:rFonts w:hint="eastAsia" w:ascii="仿宋" w:hAnsi="仿宋" w:eastAsia="仿宋" w:cs="仿宋"/>
                <w:b/>
                <w:bCs/>
                <w:color w:val="auto"/>
                <w:spacing w:val="-4"/>
                <w:sz w:val="28"/>
                <w:szCs w:val="28"/>
                <w:lang w:val="en-US" w:eastAsia="zh-CN"/>
              </w:rPr>
              <w:t>值</w:t>
            </w:r>
          </w:p>
        </w:tc>
      </w:tr>
      <w:tr w14:paraId="7CB01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922" w:type="dxa"/>
            <w:vMerge w:val="restart"/>
            <w:tcBorders>
              <w:top w:val="single" w:color="auto" w:sz="4" w:space="0"/>
              <w:left w:val="single" w:color="auto" w:sz="4" w:space="0"/>
              <w:right w:val="single" w:color="auto" w:sz="4" w:space="0"/>
            </w:tcBorders>
            <w:noWrap w:val="0"/>
            <w:vAlign w:val="center"/>
          </w:tcPr>
          <w:p w14:paraId="153DEC0C">
            <w:pPr>
              <w:pStyle w:val="50"/>
              <w:snapToGrid w:val="0"/>
              <w:spacing w:line="240" w:lineRule="auto"/>
              <w:ind w:left="0" w:leftChars="0" w:right="0" w:rightChars="0" w:firstLine="0" w:firstLineChars="0"/>
              <w:jc w:val="center"/>
              <w:rPr>
                <w:rFonts w:hint="eastAsia" w:ascii="仿宋" w:eastAsia="仿宋"/>
                <w:color w:val="auto"/>
                <w:sz w:val="24"/>
                <w:lang w:val="en-US" w:eastAsia="zh-CN"/>
              </w:rPr>
            </w:pPr>
            <w:r>
              <w:rPr>
                <w:rFonts w:hint="eastAsia" w:ascii="仿宋" w:eastAsia="仿宋"/>
                <w:color w:val="auto"/>
                <w:sz w:val="24"/>
                <w:lang w:val="en-US" w:eastAsia="zh-CN"/>
              </w:rPr>
              <w:t>安</w:t>
            </w:r>
          </w:p>
          <w:p w14:paraId="08078C2A">
            <w:pPr>
              <w:pStyle w:val="50"/>
              <w:snapToGrid w:val="0"/>
              <w:spacing w:line="240" w:lineRule="auto"/>
              <w:ind w:left="0" w:leftChars="0" w:right="0" w:rightChars="0" w:firstLine="0" w:firstLineChars="0"/>
              <w:jc w:val="center"/>
              <w:rPr>
                <w:rFonts w:hint="eastAsia" w:ascii="仿宋" w:eastAsia="仿宋"/>
                <w:color w:val="auto"/>
                <w:sz w:val="24"/>
                <w:lang w:val="en-US" w:eastAsia="zh-CN"/>
              </w:rPr>
            </w:pPr>
            <w:r>
              <w:rPr>
                <w:rFonts w:hint="eastAsia" w:ascii="仿宋" w:eastAsia="仿宋"/>
                <w:color w:val="auto"/>
                <w:sz w:val="24"/>
                <w:lang w:val="en-US" w:eastAsia="zh-CN"/>
              </w:rPr>
              <w:t>全</w:t>
            </w:r>
          </w:p>
          <w:p w14:paraId="1ADFBE54">
            <w:pPr>
              <w:pStyle w:val="50"/>
              <w:snapToGrid w:val="0"/>
              <w:spacing w:line="240" w:lineRule="auto"/>
              <w:ind w:left="0" w:leftChars="0" w:right="0" w:rightChars="0" w:firstLine="0" w:firstLineChars="0"/>
              <w:jc w:val="center"/>
              <w:rPr>
                <w:rFonts w:hint="eastAsia" w:ascii="仿宋" w:eastAsia="仿宋"/>
                <w:color w:val="auto"/>
                <w:sz w:val="24"/>
                <w:lang w:val="en-US" w:eastAsia="zh-CN"/>
              </w:rPr>
            </w:pPr>
            <w:r>
              <w:rPr>
                <w:rFonts w:hint="eastAsia" w:ascii="仿宋" w:eastAsia="仿宋"/>
                <w:color w:val="auto"/>
                <w:sz w:val="24"/>
                <w:lang w:val="en-US" w:eastAsia="zh-CN"/>
              </w:rPr>
              <w:t>生</w:t>
            </w:r>
          </w:p>
          <w:p w14:paraId="490ECCDE">
            <w:pPr>
              <w:snapToGrid w:val="0"/>
              <w:spacing w:before="87" w:line="240" w:lineRule="auto"/>
              <w:ind w:left="0" w:leftChars="0" w:right="0" w:rightChars="0" w:firstLine="0" w:firstLineChars="0"/>
              <w:jc w:val="center"/>
              <w:rPr>
                <w:rFonts w:hint="default" w:ascii="仿宋" w:hAnsi="仿宋" w:eastAsia="仿宋" w:cs="仿宋"/>
                <w:color w:val="auto"/>
                <w:sz w:val="24"/>
                <w:szCs w:val="20"/>
                <w:lang w:val="en-US" w:eastAsia="zh-CN"/>
              </w:rPr>
            </w:pPr>
            <w:r>
              <w:rPr>
                <w:rFonts w:hint="eastAsia" w:ascii="仿宋" w:eastAsia="仿宋"/>
                <w:color w:val="auto"/>
                <w:sz w:val="24"/>
                <w:lang w:val="en-US" w:eastAsia="zh-CN"/>
              </w:rPr>
              <w:t>产</w:t>
            </w:r>
          </w:p>
        </w:tc>
        <w:tc>
          <w:tcPr>
            <w:tcW w:w="773" w:type="dxa"/>
            <w:tcBorders>
              <w:top w:val="single" w:color="auto" w:sz="4" w:space="0"/>
              <w:left w:val="single" w:color="auto" w:sz="4" w:space="0"/>
              <w:bottom w:val="single" w:color="auto" w:sz="4" w:space="0"/>
              <w:right w:val="single" w:color="auto" w:sz="4" w:space="0"/>
            </w:tcBorders>
            <w:noWrap w:val="0"/>
            <w:vAlign w:val="center"/>
          </w:tcPr>
          <w:p w14:paraId="4C8BF7A8">
            <w:pPr>
              <w:snapToGrid w:val="0"/>
              <w:spacing w:before="84" w:line="240" w:lineRule="auto"/>
              <w:ind w:left="0" w:leftChars="0" w:right="0" w:rightChars="0" w:firstLine="0" w:firstLineChars="0"/>
              <w:jc w:val="center"/>
              <w:rPr>
                <w:rFonts w:ascii="仿宋" w:hAnsi="仿宋" w:eastAsia="仿宋" w:cs="仿宋"/>
                <w:color w:val="auto"/>
                <w:spacing w:val="-3"/>
                <w:sz w:val="24"/>
                <w:szCs w:val="24"/>
              </w:rPr>
            </w:pPr>
            <w:r>
              <w:rPr>
                <w:rFonts w:ascii="仿宋" w:hAnsi="仿宋" w:eastAsia="仿宋" w:cs="仿宋"/>
                <w:color w:val="auto"/>
                <w:spacing w:val="-3"/>
                <w:sz w:val="24"/>
                <w:szCs w:val="24"/>
              </w:rPr>
              <w:t>1</w:t>
            </w:r>
          </w:p>
        </w:tc>
        <w:tc>
          <w:tcPr>
            <w:tcW w:w="3710" w:type="dxa"/>
            <w:tcBorders>
              <w:top w:val="single" w:color="auto" w:sz="4" w:space="0"/>
              <w:left w:val="single" w:color="auto" w:sz="4" w:space="0"/>
              <w:bottom w:val="single" w:color="auto" w:sz="4" w:space="0"/>
              <w:right w:val="single" w:color="auto" w:sz="4" w:space="0"/>
            </w:tcBorders>
            <w:noWrap w:val="0"/>
            <w:vAlign w:val="center"/>
          </w:tcPr>
          <w:p w14:paraId="28878F9D">
            <w:pPr>
              <w:snapToGrid w:val="0"/>
              <w:spacing w:before="84" w:line="240" w:lineRule="auto"/>
              <w:ind w:left="0" w:leftChars="0" w:right="0" w:rightChars="0" w:firstLine="0" w:firstLineChars="0"/>
              <w:jc w:val="left"/>
              <w:rPr>
                <w:rFonts w:ascii="仿宋" w:hAnsi="仿宋" w:eastAsia="仿宋" w:cs="仿宋"/>
                <w:color w:val="auto"/>
                <w:spacing w:val="-3"/>
                <w:sz w:val="24"/>
                <w:szCs w:val="24"/>
              </w:rPr>
            </w:pPr>
            <w:r>
              <w:rPr>
                <w:rFonts w:hint="eastAsia" w:ascii="仿宋" w:hAnsi="仿宋" w:eastAsia="仿宋" w:cs="仿宋"/>
                <w:color w:val="auto"/>
                <w:spacing w:val="-3"/>
                <w:sz w:val="24"/>
                <w:szCs w:val="24"/>
                <w:lang w:val="en-US" w:eastAsia="zh-CN"/>
              </w:rPr>
              <w:t>生产安全事故死亡人数</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3E4472C4">
            <w:pPr>
              <w:snapToGrid w:val="0"/>
              <w:spacing w:before="57" w:line="240" w:lineRule="auto"/>
              <w:ind w:left="0" w:leftChars="0" w:right="0" w:rightChars="0" w:firstLine="0" w:firstLineChars="0"/>
              <w:jc w:val="center"/>
              <w:rPr>
                <w:rFonts w:hint="eastAsia" w:ascii="仿宋" w:hAnsi="Times New Roman" w:eastAsia="仿宋" w:cs="Times New Roman"/>
                <w:color w:val="auto"/>
                <w:kern w:val="2"/>
                <w:sz w:val="24"/>
                <w:szCs w:val="24"/>
                <w:lang w:val="en-US" w:eastAsia="zh-CN" w:bidi="ar-SA"/>
              </w:rPr>
            </w:pPr>
            <w:r>
              <w:rPr>
                <w:rFonts w:hint="eastAsia" w:ascii="Times New Roman" w:hAnsi="Times New Roman" w:eastAsia="方正仿宋_GB2312" w:cs="Times New Roman"/>
                <w:snapToGrid w:val="0"/>
                <w:color w:val="auto"/>
                <w:spacing w:val="13"/>
                <w:kern w:val="0"/>
                <w:sz w:val="24"/>
                <w:szCs w:val="24"/>
                <w:lang w:val="en-US" w:eastAsia="zh-CN"/>
              </w:rPr>
              <w:t>41</w:t>
            </w:r>
            <w:r>
              <w:rPr>
                <w:rFonts w:hint="eastAsia" w:ascii="仿宋" w:hAnsi="Times New Roman" w:eastAsia="仿宋" w:cs="Times New Roman"/>
                <w:color w:val="auto"/>
                <w:sz w:val="24"/>
                <w:szCs w:val="24"/>
                <w:lang w:val="en-US" w:eastAsia="zh-CN"/>
              </w:rPr>
              <w:t>人</w:t>
            </w:r>
          </w:p>
        </w:tc>
      </w:tr>
      <w:tr w14:paraId="44AAE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922" w:type="dxa"/>
            <w:vMerge w:val="continue"/>
            <w:tcBorders>
              <w:left w:val="single" w:color="auto" w:sz="4" w:space="0"/>
              <w:right w:val="single" w:color="auto" w:sz="4" w:space="0"/>
            </w:tcBorders>
            <w:noWrap w:val="0"/>
            <w:vAlign w:val="center"/>
          </w:tcPr>
          <w:p w14:paraId="4135AECC">
            <w:pPr>
              <w:pStyle w:val="50"/>
              <w:snapToGrid w:val="0"/>
              <w:spacing w:line="240" w:lineRule="auto"/>
              <w:ind w:left="0" w:leftChars="0" w:right="0" w:rightChars="0" w:firstLine="0" w:firstLineChars="0"/>
              <w:jc w:val="center"/>
              <w:rPr>
                <w:rFonts w:ascii="仿宋" w:eastAsia="仿宋"/>
                <w:color w:val="auto"/>
                <w:sz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3DED7044">
            <w:pPr>
              <w:snapToGrid w:val="0"/>
              <w:spacing w:before="84" w:line="240" w:lineRule="auto"/>
              <w:ind w:left="0" w:leftChars="0" w:right="0" w:rightChars="0" w:firstLine="0" w:firstLineChars="0"/>
              <w:jc w:val="center"/>
              <w:rPr>
                <w:rFonts w:ascii="仿宋" w:hAnsi="仿宋" w:eastAsia="仿宋" w:cs="仿宋"/>
                <w:color w:val="auto"/>
                <w:spacing w:val="-3"/>
                <w:sz w:val="24"/>
                <w:szCs w:val="24"/>
              </w:rPr>
            </w:pPr>
            <w:r>
              <w:rPr>
                <w:rFonts w:ascii="仿宋" w:hAnsi="仿宋" w:eastAsia="仿宋" w:cs="仿宋"/>
                <w:color w:val="auto"/>
                <w:spacing w:val="-3"/>
                <w:sz w:val="24"/>
                <w:szCs w:val="24"/>
              </w:rPr>
              <w:t>2</w:t>
            </w:r>
          </w:p>
        </w:tc>
        <w:tc>
          <w:tcPr>
            <w:tcW w:w="37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B4D97E">
            <w:pPr>
              <w:snapToGrid w:val="0"/>
              <w:spacing w:before="74" w:line="240" w:lineRule="auto"/>
              <w:ind w:left="0" w:leftChars="0" w:right="0" w:rightChars="0" w:firstLine="0" w:firstLineChars="0"/>
              <w:jc w:val="left"/>
              <w:rPr>
                <w:rFonts w:hint="default" w:ascii="仿宋" w:hAnsi="仿宋" w:eastAsia="仿宋" w:cs="仿宋"/>
                <w:color w:val="auto"/>
                <w:spacing w:val="-3"/>
                <w:kern w:val="2"/>
                <w:sz w:val="24"/>
                <w:szCs w:val="24"/>
                <w:lang w:val="en-US" w:eastAsia="zh-CN" w:bidi="ar-SA"/>
              </w:rPr>
            </w:pPr>
            <w:r>
              <w:rPr>
                <w:rFonts w:hint="eastAsia" w:cs="仿宋"/>
                <w:color w:val="auto"/>
                <w:spacing w:val="-3"/>
                <w:sz w:val="24"/>
                <w:szCs w:val="24"/>
                <w:lang w:val="en-US" w:eastAsia="zh-CN"/>
              </w:rPr>
              <w:t>一般生产安全事故起数</w:t>
            </w:r>
          </w:p>
        </w:tc>
        <w:tc>
          <w:tcPr>
            <w:tcW w:w="311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19F4F4">
            <w:pPr>
              <w:snapToGrid w:val="0"/>
              <w:spacing w:before="57" w:line="240" w:lineRule="auto"/>
              <w:ind w:left="0" w:leftChars="0" w:right="0" w:rightChars="0" w:firstLine="0" w:firstLineChars="0"/>
              <w:jc w:val="center"/>
              <w:rPr>
                <w:rFonts w:hint="eastAsia" w:ascii="Times New Roman" w:hAnsi="Times New Roman" w:eastAsia="方正仿宋_GB2312" w:cs="Times New Roman"/>
                <w:snapToGrid w:val="0"/>
                <w:color w:val="auto"/>
                <w:spacing w:val="13"/>
                <w:kern w:val="0"/>
                <w:sz w:val="24"/>
                <w:szCs w:val="24"/>
                <w:lang w:val="en-US" w:eastAsia="zh-CN" w:bidi="ar-SA"/>
              </w:rPr>
            </w:pPr>
            <w:r>
              <w:rPr>
                <w:rFonts w:hint="eastAsia" w:ascii="Times New Roman" w:hAnsi="Times New Roman" w:eastAsia="方正仿宋_GB2312" w:cs="Times New Roman"/>
                <w:snapToGrid w:val="0"/>
                <w:color w:val="auto"/>
                <w:spacing w:val="13"/>
                <w:kern w:val="0"/>
                <w:sz w:val="24"/>
                <w:szCs w:val="24"/>
                <w:lang w:val="en-US" w:eastAsia="zh-CN"/>
              </w:rPr>
              <w:t>67起</w:t>
            </w:r>
          </w:p>
        </w:tc>
      </w:tr>
      <w:tr w14:paraId="0AF76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922" w:type="dxa"/>
            <w:vMerge w:val="continue"/>
            <w:tcBorders>
              <w:left w:val="single" w:color="auto" w:sz="4" w:space="0"/>
              <w:right w:val="single" w:color="auto" w:sz="4" w:space="0"/>
            </w:tcBorders>
            <w:noWrap w:val="0"/>
            <w:vAlign w:val="center"/>
          </w:tcPr>
          <w:p w14:paraId="457FB8E0">
            <w:pPr>
              <w:pStyle w:val="50"/>
              <w:snapToGrid w:val="0"/>
              <w:spacing w:line="240" w:lineRule="auto"/>
              <w:ind w:left="0" w:leftChars="0" w:right="0" w:rightChars="0" w:firstLine="0" w:firstLineChars="0"/>
              <w:jc w:val="center"/>
              <w:rPr>
                <w:rFonts w:ascii="仿宋" w:eastAsia="仿宋"/>
                <w:color w:val="auto"/>
                <w:sz w:val="24"/>
              </w:rPr>
            </w:pPr>
          </w:p>
        </w:tc>
        <w:tc>
          <w:tcPr>
            <w:tcW w:w="773" w:type="dxa"/>
            <w:tcBorders>
              <w:top w:val="single" w:color="auto" w:sz="4" w:space="0"/>
              <w:left w:val="single" w:color="auto" w:sz="4" w:space="0"/>
              <w:bottom w:val="single" w:color="auto" w:sz="4" w:space="0"/>
              <w:right w:val="single" w:color="auto" w:sz="4" w:space="0"/>
            </w:tcBorders>
            <w:noWrap w:val="0"/>
            <w:vAlign w:val="center"/>
          </w:tcPr>
          <w:p w14:paraId="79BA6D4C">
            <w:pPr>
              <w:snapToGrid w:val="0"/>
              <w:spacing w:before="84" w:line="240" w:lineRule="auto"/>
              <w:ind w:left="0" w:leftChars="0" w:right="0" w:rightChars="0" w:firstLine="0" w:firstLineChars="0"/>
              <w:jc w:val="center"/>
              <w:rPr>
                <w:rFonts w:hint="eastAsia" w:ascii="仿宋" w:hAnsi="仿宋" w:eastAsia="仿宋" w:cs="仿宋"/>
                <w:color w:val="FF0000"/>
                <w:spacing w:val="-3"/>
                <w:sz w:val="24"/>
                <w:szCs w:val="24"/>
                <w:lang w:val="en-US" w:eastAsia="zh-CN"/>
              </w:rPr>
            </w:pPr>
            <w:r>
              <w:rPr>
                <w:rFonts w:hint="eastAsia" w:cs="仿宋"/>
                <w:color w:val="auto"/>
                <w:spacing w:val="-3"/>
                <w:sz w:val="24"/>
                <w:szCs w:val="24"/>
                <w:lang w:val="en-US" w:eastAsia="zh-CN"/>
              </w:rPr>
              <w:t>3</w:t>
            </w:r>
          </w:p>
        </w:tc>
        <w:tc>
          <w:tcPr>
            <w:tcW w:w="37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4237FB">
            <w:pPr>
              <w:snapToGrid w:val="0"/>
              <w:spacing w:before="74" w:line="240" w:lineRule="auto"/>
              <w:ind w:left="0" w:leftChars="0" w:right="0" w:rightChars="0" w:firstLine="0" w:firstLineChars="0"/>
              <w:jc w:val="left"/>
              <w:rPr>
                <w:rFonts w:hint="default" w:ascii="仿宋" w:hAnsi="仿宋" w:eastAsia="仿宋" w:cs="仿宋"/>
                <w:color w:val="auto"/>
                <w:spacing w:val="-3"/>
                <w:kern w:val="2"/>
                <w:sz w:val="24"/>
                <w:szCs w:val="24"/>
                <w:lang w:val="en-US" w:eastAsia="zh-CN" w:bidi="ar-SA"/>
              </w:rPr>
            </w:pPr>
            <w:r>
              <w:rPr>
                <w:rFonts w:hint="eastAsia" w:cs="仿宋"/>
                <w:color w:val="auto"/>
                <w:spacing w:val="-3"/>
                <w:sz w:val="24"/>
                <w:szCs w:val="24"/>
                <w:lang w:val="en-US" w:eastAsia="zh-CN"/>
              </w:rPr>
              <w:t>较大</w:t>
            </w:r>
            <w:r>
              <w:rPr>
                <w:rFonts w:ascii="仿宋" w:hAnsi="仿宋" w:eastAsia="仿宋" w:cs="仿宋"/>
                <w:color w:val="auto"/>
                <w:spacing w:val="-3"/>
                <w:sz w:val="24"/>
                <w:szCs w:val="24"/>
              </w:rPr>
              <w:t>生产</w:t>
            </w:r>
            <w:r>
              <w:rPr>
                <w:rFonts w:ascii="仿宋" w:hAnsi="仿宋" w:eastAsia="仿宋" w:cs="仿宋"/>
                <w:color w:val="auto"/>
                <w:spacing w:val="-5"/>
                <w:sz w:val="24"/>
                <w:szCs w:val="24"/>
              </w:rPr>
              <w:t>安全事故</w:t>
            </w:r>
            <w:r>
              <w:rPr>
                <w:rFonts w:hint="eastAsia" w:cs="仿宋"/>
                <w:color w:val="auto"/>
                <w:spacing w:val="-5"/>
                <w:sz w:val="24"/>
                <w:szCs w:val="24"/>
                <w:lang w:val="en-US" w:eastAsia="zh-CN"/>
              </w:rPr>
              <w:t>起数</w:t>
            </w:r>
          </w:p>
        </w:tc>
        <w:tc>
          <w:tcPr>
            <w:tcW w:w="311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123778">
            <w:pPr>
              <w:snapToGrid w:val="0"/>
              <w:spacing w:before="57" w:line="240" w:lineRule="auto"/>
              <w:ind w:left="0" w:leftChars="0" w:right="0" w:rightChars="0" w:firstLine="0" w:firstLineChars="0"/>
              <w:jc w:val="center"/>
              <w:rPr>
                <w:rFonts w:hint="default" w:ascii="仿宋" w:hAnsi="Times New Roman" w:eastAsia="仿宋" w:cs="Times New Roman"/>
                <w:color w:val="auto"/>
                <w:spacing w:val="-6"/>
                <w:kern w:val="2"/>
                <w:sz w:val="24"/>
                <w:szCs w:val="24"/>
                <w:lang w:val="en-US" w:eastAsia="zh-CN" w:bidi="ar-SA"/>
              </w:rPr>
            </w:pPr>
            <w:r>
              <w:rPr>
                <w:rFonts w:hint="eastAsia" w:ascii="Times New Roman" w:hAnsi="Times New Roman" w:eastAsia="方正仿宋_GB2312" w:cs="Times New Roman"/>
                <w:snapToGrid w:val="0"/>
                <w:color w:val="auto"/>
                <w:spacing w:val="13"/>
                <w:kern w:val="0"/>
                <w:sz w:val="24"/>
                <w:szCs w:val="24"/>
                <w:lang w:val="en-US" w:eastAsia="zh-CN"/>
              </w:rPr>
              <w:t>1</w:t>
            </w:r>
            <w:r>
              <w:rPr>
                <w:rFonts w:hint="eastAsia" w:ascii="仿宋" w:hAnsi="Times New Roman" w:eastAsia="仿宋" w:cs="Times New Roman"/>
                <w:color w:val="auto"/>
                <w:sz w:val="24"/>
                <w:szCs w:val="24"/>
                <w:lang w:val="en-US" w:eastAsia="zh-CN"/>
              </w:rPr>
              <w:t>起</w:t>
            </w:r>
          </w:p>
        </w:tc>
      </w:tr>
      <w:tr w14:paraId="0A8F9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922" w:type="dxa"/>
            <w:vMerge w:val="restart"/>
            <w:tcBorders>
              <w:top w:val="single" w:color="auto" w:sz="4" w:space="0"/>
              <w:left w:val="single" w:color="auto" w:sz="4" w:space="0"/>
              <w:bottom w:val="single" w:color="auto" w:sz="4" w:space="0"/>
              <w:right w:val="single" w:color="auto" w:sz="4" w:space="0"/>
            </w:tcBorders>
            <w:noWrap w:val="0"/>
            <w:vAlign w:val="center"/>
          </w:tcPr>
          <w:p w14:paraId="449223D4">
            <w:pPr>
              <w:snapToGrid w:val="0"/>
              <w:spacing w:before="87" w:line="240" w:lineRule="auto"/>
              <w:ind w:left="0" w:leftChars="0" w:right="0" w:rightChars="0" w:firstLine="0" w:firstLineChars="0"/>
              <w:jc w:val="center"/>
              <w:rPr>
                <w:rFonts w:hint="eastAsia" w:ascii="仿宋" w:hAnsi="仿宋" w:eastAsia="仿宋" w:cs="仿宋"/>
                <w:color w:val="auto"/>
                <w:sz w:val="24"/>
                <w:szCs w:val="20"/>
                <w:lang w:val="en-US" w:eastAsia="zh-CN"/>
              </w:rPr>
            </w:pPr>
            <w:r>
              <w:rPr>
                <w:rFonts w:hint="eastAsia" w:ascii="仿宋" w:hAnsi="仿宋" w:eastAsia="仿宋" w:cs="仿宋"/>
                <w:color w:val="auto"/>
                <w:sz w:val="24"/>
                <w:szCs w:val="20"/>
                <w:lang w:val="en-US" w:eastAsia="zh-CN"/>
              </w:rPr>
              <w:t>防</w:t>
            </w:r>
          </w:p>
          <w:p w14:paraId="5C2C2729">
            <w:pPr>
              <w:snapToGrid w:val="0"/>
              <w:spacing w:before="87" w:line="240" w:lineRule="auto"/>
              <w:ind w:left="0" w:leftChars="0" w:right="0" w:rightChars="0" w:firstLine="0" w:firstLineChars="0"/>
              <w:jc w:val="center"/>
              <w:rPr>
                <w:rFonts w:hint="eastAsia" w:ascii="仿宋" w:hAnsi="仿宋" w:eastAsia="仿宋" w:cs="仿宋"/>
                <w:color w:val="auto"/>
                <w:sz w:val="24"/>
                <w:szCs w:val="20"/>
                <w:lang w:val="en-US" w:eastAsia="zh-CN"/>
              </w:rPr>
            </w:pPr>
            <w:r>
              <w:rPr>
                <w:rFonts w:hint="eastAsia" w:ascii="仿宋" w:hAnsi="仿宋" w:eastAsia="仿宋" w:cs="仿宋"/>
                <w:color w:val="auto"/>
                <w:sz w:val="24"/>
                <w:szCs w:val="20"/>
                <w:lang w:val="en-US" w:eastAsia="zh-CN"/>
              </w:rPr>
              <w:t>灾</w:t>
            </w:r>
          </w:p>
          <w:p w14:paraId="1ADF8C96">
            <w:pPr>
              <w:snapToGrid w:val="0"/>
              <w:spacing w:before="87" w:line="240" w:lineRule="auto"/>
              <w:ind w:left="0" w:leftChars="0" w:right="0" w:rightChars="0" w:firstLine="0" w:firstLineChars="0"/>
              <w:jc w:val="center"/>
              <w:rPr>
                <w:rFonts w:hint="eastAsia" w:ascii="仿宋" w:hAnsi="仿宋" w:eastAsia="仿宋" w:cs="仿宋"/>
                <w:color w:val="auto"/>
                <w:sz w:val="24"/>
                <w:szCs w:val="20"/>
                <w:lang w:val="en-US" w:eastAsia="zh-CN"/>
              </w:rPr>
            </w:pPr>
            <w:r>
              <w:rPr>
                <w:rFonts w:hint="eastAsia" w:ascii="仿宋" w:hAnsi="仿宋" w:eastAsia="仿宋" w:cs="仿宋"/>
                <w:color w:val="auto"/>
                <w:sz w:val="24"/>
                <w:szCs w:val="20"/>
                <w:lang w:val="en-US" w:eastAsia="zh-CN"/>
              </w:rPr>
              <w:t>减</w:t>
            </w:r>
          </w:p>
          <w:p w14:paraId="1FEF15BC">
            <w:pPr>
              <w:snapToGrid w:val="0"/>
              <w:spacing w:before="87" w:line="240" w:lineRule="auto"/>
              <w:ind w:left="0" w:leftChars="0" w:right="0" w:rightChars="0" w:firstLine="0" w:firstLineChars="0"/>
              <w:jc w:val="center"/>
              <w:rPr>
                <w:rFonts w:hint="default" w:ascii="仿宋" w:eastAsia="仿宋"/>
                <w:color w:val="auto"/>
                <w:sz w:val="24"/>
                <w:lang w:val="en-US" w:eastAsia="zh-CN"/>
              </w:rPr>
            </w:pPr>
            <w:r>
              <w:rPr>
                <w:rFonts w:hint="eastAsia" w:ascii="仿宋" w:hAnsi="仿宋" w:eastAsia="仿宋" w:cs="仿宋"/>
                <w:color w:val="auto"/>
                <w:sz w:val="24"/>
                <w:szCs w:val="20"/>
                <w:lang w:val="en-US" w:eastAsia="zh-CN"/>
              </w:rPr>
              <w:t>灾</w:t>
            </w:r>
          </w:p>
        </w:tc>
        <w:tc>
          <w:tcPr>
            <w:tcW w:w="7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764D2E">
            <w:pPr>
              <w:snapToGrid w:val="0"/>
              <w:spacing w:before="84" w:line="240" w:lineRule="auto"/>
              <w:ind w:left="0" w:leftChars="0" w:right="0" w:rightChars="0" w:firstLine="0" w:firstLineChars="0"/>
              <w:jc w:val="center"/>
              <w:rPr>
                <w:rFonts w:hint="default" w:ascii="仿宋" w:hAnsi="仿宋" w:eastAsia="仿宋" w:cs="仿宋"/>
                <w:color w:val="auto"/>
                <w:spacing w:val="-3"/>
                <w:kern w:val="2"/>
                <w:sz w:val="24"/>
                <w:szCs w:val="24"/>
                <w:lang w:val="en-US" w:eastAsia="zh-CN" w:bidi="ar-SA"/>
              </w:rPr>
            </w:pPr>
            <w:r>
              <w:rPr>
                <w:rFonts w:hint="eastAsia" w:cs="仿宋"/>
                <w:color w:val="auto"/>
                <w:spacing w:val="-3"/>
                <w:sz w:val="24"/>
                <w:szCs w:val="24"/>
                <w:lang w:val="en-US" w:eastAsia="zh-CN"/>
              </w:rPr>
              <w:t>4</w:t>
            </w:r>
          </w:p>
        </w:tc>
        <w:tc>
          <w:tcPr>
            <w:tcW w:w="3710" w:type="dxa"/>
            <w:tcBorders>
              <w:top w:val="single" w:color="auto" w:sz="4" w:space="0"/>
              <w:left w:val="single" w:color="auto" w:sz="4" w:space="0"/>
              <w:bottom w:val="single" w:color="auto" w:sz="4" w:space="0"/>
              <w:right w:val="single" w:color="auto" w:sz="4" w:space="0"/>
            </w:tcBorders>
            <w:noWrap w:val="0"/>
            <w:vAlign w:val="center"/>
          </w:tcPr>
          <w:p w14:paraId="6B90DB65">
            <w:pPr>
              <w:snapToGrid w:val="0"/>
              <w:spacing w:before="77" w:line="240" w:lineRule="auto"/>
              <w:ind w:left="0" w:leftChars="0" w:right="0" w:rightChars="0" w:firstLine="0" w:firstLineChars="0"/>
              <w:jc w:val="left"/>
              <w:rPr>
                <w:rFonts w:ascii="仿宋" w:hAnsi="仿宋" w:eastAsia="仿宋" w:cs="仿宋"/>
                <w:color w:val="auto"/>
                <w:spacing w:val="-3"/>
                <w:kern w:val="2"/>
                <w:sz w:val="24"/>
                <w:szCs w:val="24"/>
                <w:lang w:val="en-US" w:eastAsia="zh-CN" w:bidi="ar-SA"/>
              </w:rPr>
            </w:pPr>
            <w:r>
              <w:rPr>
                <w:rFonts w:ascii="仿宋" w:hAnsi="仿宋" w:eastAsia="仿宋" w:cs="仿宋"/>
                <w:color w:val="auto"/>
                <w:spacing w:val="-4"/>
                <w:sz w:val="24"/>
                <w:szCs w:val="24"/>
              </w:rPr>
              <w:t>年均每</w:t>
            </w:r>
            <w:r>
              <w:rPr>
                <w:rFonts w:hint="eastAsia" w:cs="仿宋"/>
                <w:color w:val="auto"/>
                <w:spacing w:val="-4"/>
                <w:sz w:val="24"/>
                <w:szCs w:val="24"/>
                <w:lang w:val="en-US" w:eastAsia="zh-CN"/>
              </w:rPr>
              <w:t>十</w:t>
            </w:r>
            <w:r>
              <w:rPr>
                <w:rFonts w:ascii="仿宋" w:hAnsi="仿宋" w:eastAsia="仿宋" w:cs="仿宋"/>
                <w:color w:val="auto"/>
                <w:spacing w:val="-4"/>
                <w:sz w:val="24"/>
                <w:szCs w:val="24"/>
              </w:rPr>
              <w:t>万人</w:t>
            </w:r>
            <w:r>
              <w:rPr>
                <w:rFonts w:ascii="仿宋" w:hAnsi="仿宋" w:eastAsia="仿宋" w:cs="仿宋"/>
                <w:color w:val="auto"/>
                <w:spacing w:val="-20"/>
                <w:sz w:val="24"/>
                <w:szCs w:val="24"/>
              </w:rPr>
              <w:t>口因</w:t>
            </w:r>
            <w:r>
              <w:rPr>
                <w:rFonts w:ascii="仿宋" w:hAnsi="仿宋" w:eastAsia="仿宋" w:cs="仿宋"/>
                <w:color w:val="auto"/>
                <w:spacing w:val="-60"/>
                <w:sz w:val="24"/>
                <w:szCs w:val="24"/>
              </w:rPr>
              <w:t xml:space="preserve"> </w:t>
            </w:r>
            <w:r>
              <w:rPr>
                <w:rFonts w:ascii="仿宋" w:hAnsi="仿宋" w:eastAsia="仿宋" w:cs="仿宋"/>
                <w:color w:val="auto"/>
                <w:spacing w:val="-20"/>
                <w:sz w:val="24"/>
                <w:szCs w:val="24"/>
              </w:rPr>
              <w:t>自然灾害</w:t>
            </w:r>
            <w:r>
              <w:rPr>
                <w:rFonts w:ascii="仿宋" w:hAnsi="仿宋" w:eastAsia="仿宋" w:cs="仿宋"/>
                <w:color w:val="auto"/>
                <w:spacing w:val="-7"/>
                <w:sz w:val="24"/>
                <w:szCs w:val="24"/>
              </w:rPr>
              <w:t>死亡率</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4C138649">
            <w:pPr>
              <w:snapToGrid w:val="0"/>
              <w:spacing w:before="57" w:line="240" w:lineRule="auto"/>
              <w:ind w:left="0" w:leftChars="0" w:right="0" w:rightChars="0" w:firstLine="0" w:firstLineChars="0"/>
              <w:jc w:val="center"/>
              <w:rPr>
                <w:rFonts w:hint="default" w:ascii="仿宋" w:hAnsi="Times New Roman" w:eastAsia="仿宋" w:cs="Times New Roman"/>
                <w:color w:val="auto"/>
                <w:kern w:val="2"/>
                <w:sz w:val="24"/>
                <w:szCs w:val="24"/>
                <w:lang w:val="en-US" w:eastAsia="zh-CN" w:bidi="ar-SA"/>
              </w:rPr>
            </w:pPr>
            <w:r>
              <w:rPr>
                <w:rFonts w:hint="default" w:ascii="Times New Roman" w:hAnsi="Times New Roman" w:eastAsia="方正仿宋_GB2312" w:cs="Times New Roman"/>
                <w:snapToGrid w:val="0"/>
                <w:color w:val="auto"/>
                <w:spacing w:val="13"/>
                <w:kern w:val="0"/>
                <w:sz w:val="24"/>
                <w:szCs w:val="24"/>
                <w:lang w:val="en-US" w:eastAsia="zh-CN"/>
              </w:rPr>
              <w:t>0</w:t>
            </w:r>
            <w:r>
              <w:rPr>
                <w:rFonts w:hint="eastAsia" w:ascii="Times New Roman" w:hAnsi="Times New Roman" w:eastAsia="方正仿宋_GB2312" w:cs="Times New Roman"/>
                <w:snapToGrid w:val="0"/>
                <w:color w:val="auto"/>
                <w:spacing w:val="13"/>
                <w:kern w:val="0"/>
                <w:sz w:val="24"/>
                <w:szCs w:val="24"/>
                <w:lang w:val="en-US" w:eastAsia="zh-CN"/>
              </w:rPr>
              <w:t>%</w:t>
            </w:r>
          </w:p>
        </w:tc>
      </w:tr>
      <w:tr w14:paraId="133782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14:paraId="5F21EBA8">
            <w:pPr>
              <w:pStyle w:val="50"/>
              <w:snapToGrid w:val="0"/>
              <w:spacing w:line="240" w:lineRule="auto"/>
              <w:ind w:left="0" w:leftChars="0" w:right="0" w:rightChars="0" w:firstLine="0" w:firstLineChars="0"/>
              <w:jc w:val="center"/>
              <w:rPr>
                <w:rFonts w:ascii="仿宋" w:eastAsia="仿宋"/>
                <w:color w:val="auto"/>
                <w:sz w:val="24"/>
              </w:rPr>
            </w:pPr>
          </w:p>
        </w:tc>
        <w:tc>
          <w:tcPr>
            <w:tcW w:w="7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154DCA">
            <w:pPr>
              <w:snapToGrid w:val="0"/>
              <w:spacing w:before="84" w:line="240" w:lineRule="auto"/>
              <w:ind w:left="0" w:leftChars="0" w:right="0" w:rightChars="0" w:firstLine="0" w:firstLineChars="0"/>
              <w:jc w:val="center"/>
              <w:rPr>
                <w:rFonts w:hint="eastAsia" w:ascii="仿宋" w:hAnsi="仿宋" w:eastAsia="仿宋" w:cs="仿宋"/>
                <w:color w:val="auto"/>
                <w:spacing w:val="-3"/>
                <w:kern w:val="2"/>
                <w:sz w:val="24"/>
                <w:szCs w:val="24"/>
                <w:lang w:val="en-US" w:eastAsia="zh-CN" w:bidi="ar-SA"/>
              </w:rPr>
            </w:pPr>
            <w:r>
              <w:rPr>
                <w:rFonts w:hint="eastAsia" w:cs="仿宋"/>
                <w:color w:val="auto"/>
                <w:spacing w:val="-3"/>
                <w:sz w:val="24"/>
                <w:szCs w:val="24"/>
                <w:lang w:val="en-US" w:eastAsia="zh-CN"/>
              </w:rPr>
              <w:t>5</w:t>
            </w:r>
          </w:p>
        </w:tc>
        <w:tc>
          <w:tcPr>
            <w:tcW w:w="3710" w:type="dxa"/>
            <w:tcBorders>
              <w:top w:val="single" w:color="auto" w:sz="4" w:space="0"/>
              <w:left w:val="single" w:color="auto" w:sz="4" w:space="0"/>
              <w:bottom w:val="single" w:color="auto" w:sz="4" w:space="0"/>
              <w:right w:val="single" w:color="auto" w:sz="4" w:space="0"/>
            </w:tcBorders>
            <w:noWrap w:val="0"/>
            <w:vAlign w:val="center"/>
          </w:tcPr>
          <w:p w14:paraId="7179A2D5">
            <w:pPr>
              <w:snapToGrid w:val="0"/>
              <w:spacing w:before="86" w:line="240" w:lineRule="auto"/>
              <w:ind w:left="0" w:leftChars="0" w:right="0" w:rightChars="0" w:firstLine="0" w:firstLineChars="0"/>
              <w:jc w:val="left"/>
              <w:rPr>
                <w:rFonts w:ascii="仿宋" w:hAnsi="仿宋" w:eastAsia="仿宋" w:cs="仿宋"/>
                <w:color w:val="auto"/>
                <w:spacing w:val="-3"/>
                <w:kern w:val="2"/>
                <w:sz w:val="24"/>
                <w:szCs w:val="24"/>
                <w:lang w:val="en-US" w:eastAsia="zh-CN" w:bidi="ar-SA"/>
              </w:rPr>
            </w:pPr>
            <w:r>
              <w:rPr>
                <w:rFonts w:ascii="仿宋" w:hAnsi="仿宋" w:eastAsia="仿宋" w:cs="仿宋"/>
                <w:color w:val="auto"/>
                <w:spacing w:val="-4"/>
                <w:sz w:val="24"/>
                <w:szCs w:val="24"/>
              </w:rPr>
              <w:t>灾害发生后受灾群众基本生</w:t>
            </w:r>
            <w:r>
              <w:rPr>
                <w:rFonts w:hint="eastAsia" w:ascii="仿宋" w:hAnsi="宋体" w:eastAsia="仿宋" w:cs="宋体"/>
                <w:color w:val="auto"/>
                <w:spacing w:val="16"/>
                <w:sz w:val="24"/>
                <w:szCs w:val="20"/>
              </w:rPr>
              <w:t>活得到有效救助</w:t>
            </w:r>
            <w:r>
              <w:rPr>
                <w:rFonts w:hint="eastAsia" w:ascii="仿宋" w:hAnsi="宋体" w:eastAsia="仿宋" w:cs="宋体"/>
                <w:color w:val="auto"/>
                <w:spacing w:val="-1"/>
                <w:sz w:val="24"/>
                <w:szCs w:val="20"/>
              </w:rPr>
              <w:t>时间</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61D962C7">
            <w:pPr>
              <w:snapToGrid w:val="0"/>
              <w:spacing w:before="57" w:line="240" w:lineRule="auto"/>
              <w:ind w:left="0" w:leftChars="0" w:right="0" w:rightChars="0" w:firstLine="0" w:firstLineChars="0"/>
              <w:jc w:val="center"/>
              <w:rPr>
                <w:rFonts w:hint="default" w:ascii="仿宋" w:hAnsi="Times New Roman" w:eastAsia="仿宋" w:cs="Times New Roman"/>
                <w:color w:val="auto"/>
                <w:kern w:val="2"/>
                <w:sz w:val="24"/>
                <w:szCs w:val="24"/>
                <w:lang w:val="en-US" w:eastAsia="zh-CN" w:bidi="ar-SA"/>
              </w:rPr>
            </w:pPr>
            <w:r>
              <w:rPr>
                <w:rFonts w:hint="eastAsia" w:ascii="方正仿宋_GB2312" w:hAnsi="方正仿宋_GB2312" w:eastAsia="方正仿宋_GB2312" w:cs="方正仿宋_GB2312"/>
                <w:color w:val="auto"/>
                <w:position w:val="1"/>
                <w:sz w:val="24"/>
                <w:szCs w:val="24"/>
                <w:lang w:val="en-US" w:eastAsia="zh-CN"/>
              </w:rPr>
              <w:t>&lt;</w:t>
            </w:r>
            <w:r>
              <w:rPr>
                <w:rFonts w:hint="eastAsia" w:ascii="Times New Roman" w:hAnsi="Times New Roman" w:eastAsia="方正仿宋_GB2312" w:cs="Times New Roman"/>
                <w:snapToGrid w:val="0"/>
                <w:color w:val="auto"/>
                <w:spacing w:val="13"/>
                <w:kern w:val="0"/>
                <w:sz w:val="24"/>
                <w:szCs w:val="24"/>
                <w:lang w:val="en-US" w:eastAsia="zh-CN"/>
              </w:rPr>
              <w:t>1</w:t>
            </w:r>
            <w:r>
              <w:rPr>
                <w:rFonts w:hint="default" w:ascii="Times New Roman" w:hAnsi="Times New Roman" w:eastAsia="方正仿宋_GB2312" w:cs="Times New Roman"/>
                <w:snapToGrid w:val="0"/>
                <w:color w:val="auto"/>
                <w:spacing w:val="13"/>
                <w:kern w:val="0"/>
                <w:sz w:val="24"/>
                <w:szCs w:val="24"/>
                <w:lang w:val="en-US" w:eastAsia="zh-CN"/>
              </w:rPr>
              <w:t>2</w:t>
            </w:r>
            <w:r>
              <w:rPr>
                <w:rFonts w:hint="eastAsia" w:hAnsi="Times New Roman" w:cs="Times New Roman"/>
                <w:color w:val="auto"/>
                <w:sz w:val="24"/>
                <w:szCs w:val="24"/>
                <w:lang w:val="en-US" w:eastAsia="zh-CN"/>
              </w:rPr>
              <w:t>小时</w:t>
            </w:r>
          </w:p>
        </w:tc>
      </w:tr>
      <w:tr w14:paraId="3C33E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14:paraId="60C19AB3">
            <w:pPr>
              <w:pStyle w:val="50"/>
              <w:snapToGrid w:val="0"/>
              <w:spacing w:line="240" w:lineRule="auto"/>
              <w:ind w:left="0" w:leftChars="0" w:right="0" w:rightChars="0" w:firstLine="0" w:firstLineChars="0"/>
              <w:jc w:val="center"/>
              <w:rPr>
                <w:rFonts w:ascii="仿宋" w:eastAsia="仿宋"/>
                <w:color w:val="auto"/>
                <w:sz w:val="24"/>
              </w:rPr>
            </w:pPr>
          </w:p>
        </w:tc>
        <w:tc>
          <w:tcPr>
            <w:tcW w:w="7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B2C61D">
            <w:pPr>
              <w:snapToGrid w:val="0"/>
              <w:spacing w:before="84" w:line="240" w:lineRule="auto"/>
              <w:ind w:left="0" w:leftChars="0" w:right="0" w:rightChars="0" w:firstLine="0" w:firstLineChars="0"/>
              <w:jc w:val="center"/>
              <w:rPr>
                <w:rFonts w:hint="eastAsia" w:ascii="仿宋" w:hAnsi="仿宋" w:eastAsia="仿宋" w:cs="仿宋"/>
                <w:color w:val="auto"/>
                <w:spacing w:val="-3"/>
                <w:kern w:val="2"/>
                <w:sz w:val="24"/>
                <w:szCs w:val="24"/>
                <w:lang w:val="en-US" w:eastAsia="zh-CN" w:bidi="ar-SA"/>
              </w:rPr>
            </w:pPr>
            <w:r>
              <w:rPr>
                <w:rFonts w:hint="eastAsia" w:cs="仿宋"/>
                <w:color w:val="auto"/>
                <w:spacing w:val="-3"/>
                <w:sz w:val="24"/>
                <w:szCs w:val="24"/>
                <w:lang w:val="en-US" w:eastAsia="zh-CN"/>
              </w:rPr>
              <w:t>6</w:t>
            </w:r>
          </w:p>
        </w:tc>
        <w:tc>
          <w:tcPr>
            <w:tcW w:w="37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E9ADF0">
            <w:pPr>
              <w:snapToGrid w:val="0"/>
              <w:spacing w:before="86" w:line="240" w:lineRule="auto"/>
              <w:ind w:left="0" w:leftChars="0" w:right="0" w:rightChars="0" w:firstLine="0" w:firstLineChars="0"/>
              <w:jc w:val="left"/>
              <w:rPr>
                <w:rFonts w:ascii="仿宋" w:hAnsi="仿宋" w:eastAsia="仿宋" w:cs="仿宋"/>
                <w:color w:val="auto"/>
                <w:spacing w:val="-3"/>
                <w:kern w:val="2"/>
                <w:sz w:val="24"/>
                <w:szCs w:val="24"/>
                <w:lang w:val="en-US" w:eastAsia="zh-CN" w:bidi="ar-SA"/>
              </w:rPr>
            </w:pPr>
            <w:r>
              <w:rPr>
                <w:rFonts w:hint="eastAsia" w:cs="仿宋"/>
                <w:color w:val="auto"/>
                <w:spacing w:val="-3"/>
                <w:kern w:val="2"/>
                <w:sz w:val="24"/>
                <w:szCs w:val="24"/>
                <w:lang w:val="en-US" w:eastAsia="zh-CN" w:bidi="ar-SA"/>
              </w:rPr>
              <w:t>县级规范化应急避难场所数量</w:t>
            </w:r>
          </w:p>
        </w:tc>
        <w:tc>
          <w:tcPr>
            <w:tcW w:w="311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D91AC0">
            <w:pPr>
              <w:snapToGrid w:val="0"/>
              <w:spacing w:before="57" w:line="240" w:lineRule="auto"/>
              <w:ind w:left="0" w:leftChars="0" w:right="0" w:rightChars="0" w:firstLine="0" w:firstLineChars="0"/>
              <w:jc w:val="center"/>
              <w:rPr>
                <w:rFonts w:hint="default" w:ascii="仿宋" w:hAnsi="Times New Roman" w:eastAsia="仿宋" w:cs="Times New Roman"/>
                <w:color w:val="auto"/>
                <w:spacing w:val="-6"/>
                <w:kern w:val="2"/>
                <w:sz w:val="24"/>
                <w:szCs w:val="24"/>
                <w:lang w:val="en-US" w:eastAsia="zh-CN" w:bidi="ar-SA"/>
              </w:rPr>
            </w:pPr>
            <w:r>
              <w:rPr>
                <w:rFonts w:hint="eastAsia" w:ascii="Times New Roman" w:hAnsi="Times New Roman" w:eastAsia="方正仿宋_GB2312" w:cs="Times New Roman"/>
                <w:snapToGrid w:val="0"/>
                <w:color w:val="auto"/>
                <w:spacing w:val="13"/>
                <w:kern w:val="0"/>
                <w:sz w:val="24"/>
                <w:szCs w:val="24"/>
                <w:lang w:val="en-US" w:eastAsia="zh-CN"/>
              </w:rPr>
              <w:t>10处</w:t>
            </w:r>
          </w:p>
        </w:tc>
      </w:tr>
      <w:tr w14:paraId="0C508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14:paraId="0627BE5E">
            <w:pPr>
              <w:pStyle w:val="50"/>
              <w:snapToGrid w:val="0"/>
              <w:spacing w:line="240" w:lineRule="auto"/>
              <w:ind w:left="0" w:leftChars="0" w:right="0" w:rightChars="0" w:firstLine="0" w:firstLineChars="0"/>
              <w:jc w:val="center"/>
              <w:rPr>
                <w:rFonts w:ascii="仿宋" w:eastAsia="仿宋"/>
                <w:color w:val="auto"/>
                <w:sz w:val="24"/>
              </w:rPr>
            </w:pPr>
          </w:p>
        </w:tc>
        <w:tc>
          <w:tcPr>
            <w:tcW w:w="77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BC87E6">
            <w:pPr>
              <w:snapToGrid w:val="0"/>
              <w:spacing w:before="84" w:line="240" w:lineRule="auto"/>
              <w:ind w:left="0" w:leftChars="0" w:right="0" w:rightChars="0" w:firstLine="0" w:firstLineChars="0"/>
              <w:jc w:val="center"/>
              <w:rPr>
                <w:rFonts w:hint="eastAsia" w:ascii="仿宋" w:hAnsi="仿宋" w:eastAsia="仿宋" w:cs="仿宋"/>
                <w:color w:val="auto"/>
                <w:spacing w:val="-3"/>
                <w:kern w:val="2"/>
                <w:sz w:val="24"/>
                <w:szCs w:val="24"/>
                <w:lang w:val="en-US" w:eastAsia="zh-CN" w:bidi="ar-SA"/>
              </w:rPr>
            </w:pPr>
            <w:r>
              <w:rPr>
                <w:rFonts w:hint="eastAsia" w:cs="仿宋"/>
                <w:color w:val="auto"/>
                <w:spacing w:val="-3"/>
                <w:sz w:val="24"/>
                <w:szCs w:val="24"/>
                <w:lang w:val="en-US" w:eastAsia="zh-CN"/>
              </w:rPr>
              <w:t>7</w:t>
            </w:r>
          </w:p>
        </w:tc>
        <w:tc>
          <w:tcPr>
            <w:tcW w:w="37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03A3AF">
            <w:pPr>
              <w:snapToGrid w:val="0"/>
              <w:spacing w:before="86" w:line="240" w:lineRule="auto"/>
              <w:ind w:left="0" w:leftChars="0" w:right="0" w:rightChars="0" w:firstLine="0" w:firstLineChars="0"/>
              <w:jc w:val="left"/>
              <w:rPr>
                <w:rFonts w:ascii="仿宋" w:hAnsi="仿宋" w:eastAsia="仿宋" w:cs="仿宋"/>
                <w:color w:val="auto"/>
                <w:spacing w:val="-3"/>
                <w:kern w:val="2"/>
                <w:sz w:val="24"/>
                <w:szCs w:val="24"/>
                <w:lang w:val="en-US" w:eastAsia="zh-CN" w:bidi="ar-SA"/>
              </w:rPr>
            </w:pPr>
            <w:r>
              <w:rPr>
                <w:rFonts w:ascii="仿宋" w:hAnsi="仿宋" w:eastAsia="仿宋" w:cs="仿宋"/>
                <w:color w:val="auto"/>
                <w:spacing w:val="-4"/>
                <w:sz w:val="24"/>
                <w:szCs w:val="24"/>
              </w:rPr>
              <w:t>每个城乡社区灾害信息员数量</w:t>
            </w:r>
          </w:p>
        </w:tc>
        <w:tc>
          <w:tcPr>
            <w:tcW w:w="311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EC31A7">
            <w:pPr>
              <w:snapToGrid w:val="0"/>
              <w:spacing w:before="57" w:line="240" w:lineRule="auto"/>
              <w:ind w:left="0" w:leftChars="0" w:right="0" w:rightChars="0" w:firstLine="0" w:firstLineChars="0"/>
              <w:jc w:val="center"/>
              <w:rPr>
                <w:rFonts w:hint="eastAsia" w:ascii="仿宋" w:hAnsi="Times New Roman" w:eastAsia="仿宋" w:cs="Times New Roman"/>
                <w:color w:val="auto"/>
                <w:spacing w:val="-6"/>
                <w:kern w:val="2"/>
                <w:sz w:val="24"/>
                <w:szCs w:val="24"/>
                <w:lang w:val="en-US" w:eastAsia="zh-CN" w:bidi="ar-SA"/>
              </w:rPr>
            </w:pPr>
            <w:r>
              <w:rPr>
                <w:rFonts w:hint="eastAsia" w:ascii="Times New Roman" w:hAnsi="Times New Roman" w:eastAsia="方正仿宋_GB2312" w:cs="Times New Roman"/>
                <w:snapToGrid w:val="0"/>
                <w:color w:val="auto"/>
                <w:spacing w:val="13"/>
                <w:kern w:val="0"/>
                <w:sz w:val="24"/>
                <w:szCs w:val="24"/>
                <w:lang w:val="en-US" w:eastAsia="zh-CN"/>
              </w:rPr>
              <w:t>2人</w:t>
            </w:r>
          </w:p>
        </w:tc>
      </w:tr>
    </w:tbl>
    <w:p w14:paraId="231E3110">
      <w:pPr>
        <w:keepNext w:val="0"/>
        <w:keepLines w:val="0"/>
        <w:pageBreakBefore w:val="0"/>
        <w:widowControl/>
        <w:kinsoku w:val="0"/>
        <w:wordWrap/>
        <w:overflowPunct/>
        <w:topLinePunct w:val="0"/>
        <w:autoSpaceDE w:val="0"/>
        <w:autoSpaceDN w:val="0"/>
        <w:bidi w:val="0"/>
        <w:adjustRightInd w:val="0"/>
        <w:snapToGrid w:val="0"/>
        <w:spacing w:afterAutospacing="0" w:line="576" w:lineRule="exact"/>
        <w:ind w:left="0" w:leftChars="0" w:right="0" w:firstLine="0" w:firstLineChars="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zh-CN"/>
        </w:rPr>
      </w:pPr>
      <w:bookmarkStart w:id="6" w:name="_Toc8319"/>
    </w:p>
    <w:p w14:paraId="7C8674D3">
      <w:pPr>
        <w:keepNext w:val="0"/>
        <w:keepLines w:val="0"/>
        <w:pageBreakBefore w:val="0"/>
        <w:widowControl/>
        <w:kinsoku w:val="0"/>
        <w:wordWrap/>
        <w:overflowPunct/>
        <w:topLinePunct w:val="0"/>
        <w:autoSpaceDE w:val="0"/>
        <w:autoSpaceDN w:val="0"/>
        <w:bidi w:val="0"/>
        <w:adjustRightInd w:val="0"/>
        <w:snapToGrid w:val="0"/>
        <w:spacing w:afterAutospacing="0" w:line="576" w:lineRule="exact"/>
        <w:ind w:leftChars="0" w:right="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zh-CN"/>
        </w:rPr>
      </w:pPr>
      <w:r>
        <w:rPr>
          <w:rFonts w:hint="eastAsia" w:ascii="仿宋_GB2312" w:hAnsi="仿宋_GB2312" w:eastAsia="仿宋_GB2312" w:cs="仿宋_GB2312"/>
          <w:b/>
          <w:bCs/>
          <w:snapToGrid w:val="0"/>
          <w:color w:val="auto"/>
          <w:spacing w:val="9"/>
          <w:kern w:val="0"/>
          <w:sz w:val="32"/>
          <w:szCs w:val="32"/>
          <w:lang w:val="en-US" w:eastAsia="zh-CN"/>
        </w:rPr>
        <w:t>一、应急管理体制机制进一步完善</w:t>
      </w:r>
      <w:bookmarkEnd w:id="6"/>
    </w:p>
    <w:p w14:paraId="6732EE5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696"/>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落实国家统一指挥、专常兼备、反应灵敏、上下联动的应急管理体制和综合协调、分类管理、分级负责、属地管理为主的工作体系。落实《墨玉县机构改革方案》，整合优化区域内应急力量和资源，逐步落实“三定方案”，设立墨玉县矿山安全服务保障中心事业单位</w:t>
      </w:r>
      <w:r>
        <w:rPr>
          <w:rFonts w:hint="default" w:ascii="Times New Roman" w:hAnsi="Times New Roman" w:eastAsia="仿宋_GB2312" w:cs="Times New Roman"/>
          <w:b w:val="0"/>
          <w:bCs w:val="0"/>
          <w:snapToGrid w:val="0"/>
          <w:color w:val="auto"/>
          <w:spacing w:val="13"/>
          <w:kern w:val="0"/>
          <w:sz w:val="32"/>
          <w:szCs w:val="32"/>
          <w:lang w:val="en-US" w:eastAsia="zh-CN"/>
        </w:rPr>
        <w:t>1</w:t>
      </w:r>
      <w:r>
        <w:rPr>
          <w:rFonts w:hint="eastAsia" w:ascii="仿宋_GB2312" w:hAnsi="仿宋_GB2312" w:eastAsia="仿宋_GB2312" w:cs="仿宋_GB2312"/>
          <w:b w:val="0"/>
          <w:bCs w:val="0"/>
          <w:snapToGrid w:val="0"/>
          <w:color w:val="auto"/>
          <w:spacing w:val="13"/>
          <w:kern w:val="0"/>
          <w:sz w:val="32"/>
          <w:szCs w:val="32"/>
          <w:lang w:val="en-US" w:eastAsia="zh-CN"/>
        </w:rPr>
        <w:t>个。根据地区安委办要求，完成墨玉县减灾委、墨玉县抗震救灾指挥部与墨玉县安全生产委员会办公室合并工作，充分发挥县安委办在综合应急管理工作中的协调作用。建立健全生产安全事故、安全隐患举报、重大危险源和企业安全生产诚信公示等社会监督制度。建立安全生产行政责任追究制度及奖惩办法，建立健全安全生产综合协调、激励约束、联合执法、事故查处与责任追究等工作机制。</w:t>
      </w:r>
    </w:p>
    <w:p w14:paraId="1ADFD1F0">
      <w:pPr>
        <w:keepNext w:val="0"/>
        <w:keepLines w:val="0"/>
        <w:pageBreakBefore w:val="0"/>
        <w:widowControl/>
        <w:kinsoku w:val="0"/>
        <w:wordWrap/>
        <w:overflowPunct/>
        <w:topLinePunct w:val="0"/>
        <w:autoSpaceDE w:val="0"/>
        <w:autoSpaceDN w:val="0"/>
        <w:bidi w:val="0"/>
        <w:adjustRightInd w:val="0"/>
        <w:snapToGrid w:val="0"/>
        <w:spacing w:afterAutospacing="0" w:line="576" w:lineRule="exact"/>
        <w:ind w:leftChars="0" w:right="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zh-CN"/>
        </w:rPr>
      </w:pPr>
      <w:bookmarkStart w:id="7" w:name="_Toc20788"/>
      <w:r>
        <w:rPr>
          <w:rFonts w:hint="eastAsia" w:ascii="仿宋_GB2312" w:hAnsi="仿宋_GB2312" w:eastAsia="仿宋_GB2312" w:cs="仿宋_GB2312"/>
          <w:b/>
          <w:bCs/>
          <w:snapToGrid w:val="0"/>
          <w:color w:val="auto"/>
          <w:spacing w:val="9"/>
          <w:kern w:val="0"/>
          <w:sz w:val="32"/>
          <w:szCs w:val="32"/>
          <w:lang w:val="en-US" w:eastAsia="zh-CN"/>
        </w:rPr>
        <w:t>二、安全生产形势持续稳定发展</w:t>
      </w:r>
      <w:bookmarkEnd w:id="7"/>
    </w:p>
    <w:p w14:paraId="075145F8">
      <w:pPr>
        <w:keepNext w:val="0"/>
        <w:keepLines w:val="0"/>
        <w:pageBreakBefore w:val="0"/>
        <w:widowControl/>
        <w:kinsoku w:val="0"/>
        <w:wordWrap/>
        <w:overflowPunct/>
        <w:topLinePunct w:val="0"/>
        <w:autoSpaceDE w:val="0"/>
        <w:autoSpaceDN w:val="0"/>
        <w:bidi w:val="0"/>
        <w:adjustRightInd w:val="0"/>
        <w:snapToGrid w:val="0"/>
        <w:spacing w:afterAutospacing="0" w:line="576" w:lineRule="exact"/>
        <w:ind w:leftChars="0"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县委、县政府把做好重点领域安全生产专项治理作为安全生产工作的抓手，常抓不懈。通过发挥安委会办公室综合协调职能，督促各行业主管单位正确履行安全生产职责，齐抓共管确保重点行业领域安全运行。辖区内深入开展人员密集场所火灾隐患排查、危险化学品企业检维修作业安全生产、非煤矿山防范典型事故、建筑施工防范高处坠落事故、市政基础设施工程有限空间作业、旅游景区安全设施、特种设备安全生产、民爆物品运输使用环节安全生产、校园安全设施、文化活动场所安全管理、电动车全链条整治等专项治理行动。“十四五”期间，辖区内各项指标均在控制指标内，安全生产总体状况保持持续稳定好转发展态势，为经济社会持续健康发展提供安全保障。</w:t>
      </w:r>
    </w:p>
    <w:p w14:paraId="530D8AA8">
      <w:pPr>
        <w:keepNext w:val="0"/>
        <w:keepLines w:val="0"/>
        <w:pageBreakBefore w:val="0"/>
        <w:widowControl/>
        <w:kinsoku w:val="0"/>
        <w:wordWrap/>
        <w:overflowPunct/>
        <w:topLinePunct w:val="0"/>
        <w:autoSpaceDE w:val="0"/>
        <w:autoSpaceDN w:val="0"/>
        <w:bidi w:val="0"/>
        <w:adjustRightInd w:val="0"/>
        <w:snapToGrid w:val="0"/>
        <w:spacing w:afterAutospacing="0" w:line="576" w:lineRule="exact"/>
        <w:ind w:right="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zh-CN"/>
        </w:rPr>
      </w:pPr>
      <w:bookmarkStart w:id="8" w:name="_Toc31275"/>
      <w:r>
        <w:rPr>
          <w:rFonts w:hint="eastAsia" w:ascii="仿宋_GB2312" w:hAnsi="仿宋_GB2312" w:eastAsia="仿宋_GB2312" w:cs="仿宋_GB2312"/>
          <w:b/>
          <w:bCs/>
          <w:snapToGrid w:val="0"/>
          <w:color w:val="auto"/>
          <w:spacing w:val="9"/>
          <w:kern w:val="0"/>
          <w:sz w:val="32"/>
          <w:szCs w:val="32"/>
          <w:lang w:val="en-US" w:eastAsia="zh-CN"/>
        </w:rPr>
        <w:t>三、综合防灾减灾能力不断提升</w:t>
      </w:r>
      <w:bookmarkEnd w:id="8"/>
    </w:p>
    <w:p w14:paraId="00152D2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w:t>
      </w:r>
      <w:r>
        <w:rPr>
          <w:rFonts w:hint="eastAsia" w:ascii="Times New Roman" w:hAnsi="Times New Roman" w:eastAsia="仿宋_GB2312" w:cs="Times New Roman"/>
          <w:b/>
          <w:bCs/>
          <w:snapToGrid w:val="0"/>
          <w:color w:val="auto"/>
          <w:spacing w:val="13"/>
          <w:kern w:val="0"/>
          <w:sz w:val="32"/>
          <w:szCs w:val="32"/>
          <w:lang w:val="en-US" w:eastAsia="zh-CN"/>
        </w:rPr>
        <w:t>（一）</w:t>
      </w:r>
      <w:r>
        <w:rPr>
          <w:rFonts w:hint="eastAsia" w:ascii="仿宋_GB2312" w:hAnsi="仿宋_GB2312" w:eastAsia="仿宋_GB2312" w:cs="仿宋_GB2312"/>
          <w:b/>
          <w:bCs/>
          <w:snapToGrid w:val="0"/>
          <w:color w:val="auto"/>
          <w:spacing w:val="13"/>
          <w:kern w:val="0"/>
          <w:sz w:val="32"/>
          <w:szCs w:val="32"/>
          <w:lang w:val="en-US" w:eastAsia="zh-CN"/>
        </w:rPr>
        <w:t>应急预案修订工作已完成。</w:t>
      </w:r>
      <w:r>
        <w:rPr>
          <w:rFonts w:hint="eastAsia" w:ascii="仿宋_GB2312" w:hAnsi="仿宋_GB2312" w:eastAsia="仿宋_GB2312" w:cs="仿宋_GB2312"/>
          <w:b w:val="0"/>
          <w:bCs w:val="0"/>
          <w:snapToGrid w:val="0"/>
          <w:color w:val="auto"/>
          <w:spacing w:val="13"/>
          <w:kern w:val="0"/>
          <w:sz w:val="32"/>
          <w:szCs w:val="32"/>
          <w:lang w:val="en-US" w:eastAsia="zh-CN"/>
        </w:rPr>
        <w:t>我县立足“人民至上、生命至上”理念，切实提高全域防御自然灾害的能力和水平。“十四五”期间，</w:t>
      </w:r>
      <w:r>
        <w:rPr>
          <w:rFonts w:hint="default" w:ascii="Times New Roman" w:hAnsi="Times New Roman" w:eastAsia="仿宋_GB2312" w:cs="Times New Roman"/>
          <w:b w:val="0"/>
          <w:bCs w:val="0"/>
          <w:snapToGrid w:val="0"/>
          <w:color w:val="auto"/>
          <w:spacing w:val="13"/>
          <w:kern w:val="0"/>
          <w:sz w:val="32"/>
          <w:szCs w:val="32"/>
          <w:lang w:val="en-US" w:eastAsia="zh-CN"/>
        </w:rPr>
        <w:t>21</w:t>
      </w:r>
      <w:r>
        <w:rPr>
          <w:rFonts w:hint="eastAsia" w:ascii="仿宋_GB2312" w:hAnsi="仿宋_GB2312" w:eastAsia="仿宋_GB2312" w:cs="仿宋_GB2312"/>
          <w:b w:val="0"/>
          <w:bCs w:val="0"/>
          <w:snapToGrid w:val="0"/>
          <w:color w:val="auto"/>
          <w:spacing w:val="13"/>
          <w:kern w:val="0"/>
          <w:sz w:val="32"/>
          <w:szCs w:val="32"/>
          <w:lang w:val="en-US" w:eastAsia="zh-CN"/>
        </w:rPr>
        <w:t>个成员单位、</w:t>
      </w:r>
      <w:r>
        <w:rPr>
          <w:rFonts w:hint="eastAsia" w:ascii="Times New Roman" w:hAnsi="Times New Roman" w:eastAsia="仿宋_GB2312" w:cs="Times New Roman"/>
          <w:b w:val="0"/>
          <w:bCs w:val="0"/>
          <w:snapToGrid w:val="0"/>
          <w:color w:val="auto"/>
          <w:spacing w:val="13"/>
          <w:kern w:val="0"/>
          <w:sz w:val="32"/>
          <w:szCs w:val="32"/>
          <w:lang w:val="en-US" w:eastAsia="zh-CN"/>
        </w:rPr>
        <w:t>21</w:t>
      </w:r>
      <w:r>
        <w:rPr>
          <w:rFonts w:hint="eastAsia" w:ascii="仿宋_GB2312" w:hAnsi="仿宋_GB2312" w:eastAsia="仿宋_GB2312" w:cs="仿宋_GB2312"/>
          <w:b w:val="0"/>
          <w:bCs w:val="0"/>
          <w:snapToGrid w:val="0"/>
          <w:color w:val="auto"/>
          <w:spacing w:val="13"/>
          <w:kern w:val="0"/>
          <w:sz w:val="32"/>
          <w:szCs w:val="32"/>
          <w:lang w:val="en-US" w:eastAsia="zh-CN"/>
        </w:rPr>
        <w:t>个乡镇（街办、园区）、</w:t>
      </w:r>
      <w:r>
        <w:rPr>
          <w:rFonts w:hint="eastAsia" w:ascii="Times New Roman" w:hAnsi="Times New Roman" w:eastAsia="仿宋_GB2312" w:cs="Times New Roman"/>
          <w:b w:val="0"/>
          <w:bCs w:val="0"/>
          <w:snapToGrid w:val="0"/>
          <w:color w:val="auto"/>
          <w:spacing w:val="13"/>
          <w:kern w:val="0"/>
          <w:sz w:val="32"/>
          <w:szCs w:val="32"/>
          <w:lang w:val="en-US" w:eastAsia="zh-CN"/>
        </w:rPr>
        <w:t>426</w:t>
      </w:r>
      <w:r>
        <w:rPr>
          <w:rFonts w:hint="eastAsia" w:ascii="仿宋_GB2312" w:hAnsi="仿宋_GB2312" w:eastAsia="仿宋_GB2312" w:cs="仿宋_GB2312"/>
          <w:b w:val="0"/>
          <w:bCs w:val="0"/>
          <w:snapToGrid w:val="0"/>
          <w:color w:val="auto"/>
          <w:spacing w:val="13"/>
          <w:kern w:val="0"/>
          <w:sz w:val="32"/>
          <w:szCs w:val="32"/>
          <w:lang w:val="en-US" w:eastAsia="zh-CN"/>
        </w:rPr>
        <w:t>个行政村（社区）结合实际，已初步完成应急预案修订工作。</w:t>
      </w:r>
    </w:p>
    <w:p w14:paraId="24D3E79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4"/>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w:t>
      </w:r>
      <w:r>
        <w:rPr>
          <w:rFonts w:hint="eastAsia" w:ascii="Times New Roman" w:hAnsi="Times New Roman" w:eastAsia="仿宋_GB2312" w:cs="Times New Roman"/>
          <w:b/>
          <w:bCs/>
          <w:snapToGrid w:val="0"/>
          <w:color w:val="auto"/>
          <w:spacing w:val="13"/>
          <w:kern w:val="0"/>
          <w:sz w:val="32"/>
          <w:szCs w:val="32"/>
          <w:lang w:val="en-US" w:eastAsia="zh-CN"/>
        </w:rPr>
        <w:t>（二）</w:t>
      </w:r>
      <w:r>
        <w:rPr>
          <w:rFonts w:hint="eastAsia" w:ascii="仿宋_GB2312" w:hAnsi="仿宋_GB2312" w:eastAsia="仿宋_GB2312" w:cs="仿宋_GB2312"/>
          <w:b/>
          <w:bCs/>
          <w:snapToGrid w:val="0"/>
          <w:color w:val="auto"/>
          <w:spacing w:val="13"/>
          <w:kern w:val="0"/>
          <w:sz w:val="32"/>
          <w:szCs w:val="32"/>
          <w:lang w:val="en-US" w:eastAsia="zh-CN"/>
        </w:rPr>
        <w:t>健全完善协作联动工作机制。</w:t>
      </w:r>
      <w:r>
        <w:rPr>
          <w:rFonts w:hint="eastAsia" w:ascii="仿宋_GB2312" w:hAnsi="仿宋_GB2312" w:eastAsia="仿宋_GB2312" w:cs="仿宋_GB2312"/>
          <w:b w:val="0"/>
          <w:bCs w:val="0"/>
          <w:snapToGrid w:val="0"/>
          <w:color w:val="auto"/>
          <w:spacing w:val="13"/>
          <w:kern w:val="0"/>
          <w:sz w:val="32"/>
          <w:szCs w:val="32"/>
          <w:lang w:val="en-US" w:eastAsia="zh-CN"/>
        </w:rPr>
        <w:t>各成员单位要进一步健全完善社会动员、协调联动机制，促进各类资源整合、力量联动。主动加强与上级以及各成员单位之间的沟通协调，密切工作联系，形成强大合力，有效防范和应对自然灾害突发事件。</w:t>
      </w:r>
    </w:p>
    <w:p w14:paraId="623BFEB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（三）加强应急救援队伍建设。</w:t>
      </w:r>
      <w:r>
        <w:rPr>
          <w:rFonts w:hint="eastAsia" w:ascii="仿宋_GB2312" w:hAnsi="仿宋_GB2312" w:eastAsia="仿宋_GB2312" w:cs="仿宋_GB2312"/>
          <w:b w:val="0"/>
          <w:bCs w:val="0"/>
          <w:snapToGrid w:val="0"/>
          <w:color w:val="auto"/>
          <w:spacing w:val="13"/>
          <w:kern w:val="0"/>
          <w:sz w:val="32"/>
          <w:szCs w:val="32"/>
          <w:lang w:val="en-US" w:eastAsia="zh-CN"/>
        </w:rPr>
        <w:t>我县在“十四五”期间将应急队伍建设作为一项重要的基础性工作，组建专业应急救援队伍共</w:t>
      </w:r>
      <w:r>
        <w:rPr>
          <w:rFonts w:hint="eastAsia" w:ascii="Times New Roman" w:hAnsi="Times New Roman" w:eastAsia="仿宋_GB2312" w:cs="Times New Roman"/>
          <w:b w:val="0"/>
          <w:bCs w:val="0"/>
          <w:snapToGrid w:val="0"/>
          <w:color w:val="auto"/>
          <w:spacing w:val="13"/>
          <w:kern w:val="0"/>
          <w:sz w:val="32"/>
          <w:szCs w:val="32"/>
          <w:lang w:val="en-US" w:eastAsia="zh-CN"/>
        </w:rPr>
        <w:t>18</w:t>
      </w:r>
      <w:r>
        <w:rPr>
          <w:rFonts w:hint="eastAsia" w:ascii="仿宋_GB2312" w:hAnsi="仿宋_GB2312" w:eastAsia="仿宋_GB2312" w:cs="仿宋_GB2312"/>
          <w:b w:val="0"/>
          <w:bCs w:val="0"/>
          <w:snapToGrid w:val="0"/>
          <w:color w:val="auto"/>
          <w:spacing w:val="13"/>
          <w:kern w:val="0"/>
          <w:sz w:val="32"/>
          <w:szCs w:val="32"/>
          <w:lang w:val="en-US" w:eastAsia="zh-CN"/>
        </w:rPr>
        <w:t>类</w:t>
      </w:r>
      <w:r>
        <w:rPr>
          <w:rFonts w:hint="eastAsia" w:ascii="Times New Roman" w:hAnsi="Times New Roman" w:eastAsia="仿宋_GB2312" w:cs="Times New Roman"/>
          <w:b w:val="0"/>
          <w:bCs w:val="0"/>
          <w:snapToGrid w:val="0"/>
          <w:color w:val="auto"/>
          <w:spacing w:val="13"/>
          <w:kern w:val="0"/>
          <w:sz w:val="32"/>
          <w:szCs w:val="32"/>
          <w:lang w:val="en-US" w:eastAsia="zh-CN"/>
        </w:rPr>
        <w:t>43</w:t>
      </w:r>
      <w:r>
        <w:rPr>
          <w:rFonts w:hint="eastAsia" w:ascii="仿宋_GB2312" w:hAnsi="仿宋_GB2312" w:eastAsia="仿宋_GB2312" w:cs="仿宋_GB2312"/>
          <w:b w:val="0"/>
          <w:bCs w:val="0"/>
          <w:snapToGrid w:val="0"/>
          <w:color w:val="auto"/>
          <w:spacing w:val="13"/>
          <w:kern w:val="0"/>
          <w:sz w:val="32"/>
          <w:szCs w:val="32"/>
          <w:lang w:val="en-US" w:eastAsia="zh-CN"/>
        </w:rPr>
        <w:t>支</w:t>
      </w:r>
      <w:r>
        <w:rPr>
          <w:rFonts w:hint="eastAsia" w:ascii="Times New Roman" w:hAnsi="Times New Roman" w:eastAsia="仿宋_GB2312" w:cs="Times New Roman"/>
          <w:b w:val="0"/>
          <w:bCs w:val="0"/>
          <w:snapToGrid w:val="0"/>
          <w:color w:val="auto"/>
          <w:spacing w:val="13"/>
          <w:kern w:val="0"/>
          <w:sz w:val="32"/>
          <w:szCs w:val="32"/>
          <w:lang w:val="en-US" w:eastAsia="zh-CN"/>
        </w:rPr>
        <w:t>437</w:t>
      </w:r>
      <w:r>
        <w:rPr>
          <w:rFonts w:hint="eastAsia" w:ascii="仿宋_GB2312" w:hAnsi="仿宋_GB2312" w:eastAsia="仿宋_GB2312" w:cs="仿宋_GB2312"/>
          <w:b w:val="0"/>
          <w:bCs w:val="0"/>
          <w:snapToGrid w:val="0"/>
          <w:color w:val="auto"/>
          <w:spacing w:val="13"/>
          <w:kern w:val="0"/>
          <w:sz w:val="32"/>
          <w:szCs w:val="32"/>
          <w:lang w:val="en-US" w:eastAsia="zh-CN"/>
        </w:rPr>
        <w:t>人；乡、村两级应急救援力量共</w:t>
      </w:r>
      <w:r>
        <w:rPr>
          <w:rFonts w:hint="eastAsia" w:ascii="Times New Roman" w:hAnsi="Times New Roman" w:eastAsia="仿宋_GB2312" w:cs="Times New Roman"/>
          <w:b w:val="0"/>
          <w:bCs w:val="0"/>
          <w:snapToGrid w:val="0"/>
          <w:color w:val="auto"/>
          <w:spacing w:val="13"/>
          <w:kern w:val="0"/>
          <w:sz w:val="32"/>
          <w:szCs w:val="32"/>
          <w:lang w:val="en-US" w:eastAsia="zh-CN"/>
        </w:rPr>
        <w:t>426</w:t>
      </w:r>
      <w:r>
        <w:rPr>
          <w:rFonts w:hint="eastAsia" w:ascii="仿宋_GB2312" w:hAnsi="仿宋_GB2312" w:eastAsia="仿宋_GB2312" w:cs="仿宋_GB2312"/>
          <w:b w:val="0"/>
          <w:bCs w:val="0"/>
          <w:snapToGrid w:val="0"/>
          <w:color w:val="auto"/>
          <w:spacing w:val="13"/>
          <w:kern w:val="0"/>
          <w:sz w:val="32"/>
          <w:szCs w:val="32"/>
          <w:lang w:val="en-US" w:eastAsia="zh-CN"/>
        </w:rPr>
        <w:t>支</w:t>
      </w:r>
      <w:r>
        <w:rPr>
          <w:rFonts w:hint="eastAsia" w:ascii="Times New Roman" w:hAnsi="Times New Roman" w:eastAsia="仿宋_GB2312" w:cs="Times New Roman"/>
          <w:b w:val="0"/>
          <w:bCs w:val="0"/>
          <w:snapToGrid w:val="0"/>
          <w:color w:val="auto"/>
          <w:spacing w:val="13"/>
          <w:kern w:val="0"/>
          <w:sz w:val="32"/>
          <w:szCs w:val="32"/>
          <w:lang w:val="en-US" w:eastAsia="zh-CN"/>
        </w:rPr>
        <w:t>4260</w:t>
      </w:r>
      <w:r>
        <w:rPr>
          <w:rFonts w:hint="eastAsia" w:ascii="仿宋_GB2312" w:hAnsi="仿宋_GB2312" w:eastAsia="仿宋_GB2312" w:cs="仿宋_GB2312"/>
          <w:b w:val="0"/>
          <w:bCs w:val="0"/>
          <w:snapToGrid w:val="0"/>
          <w:color w:val="auto"/>
          <w:spacing w:val="13"/>
          <w:kern w:val="0"/>
          <w:sz w:val="32"/>
          <w:szCs w:val="32"/>
          <w:lang w:val="en-US" w:eastAsia="zh-CN"/>
        </w:rPr>
        <w:t>人，灾害信息员（报灾员）</w:t>
      </w:r>
      <w:r>
        <w:rPr>
          <w:rFonts w:hint="eastAsia" w:ascii="Times New Roman" w:hAnsi="Times New Roman" w:eastAsia="仿宋_GB2312" w:cs="Times New Roman"/>
          <w:b w:val="0"/>
          <w:bCs w:val="0"/>
          <w:snapToGrid w:val="0"/>
          <w:color w:val="auto"/>
          <w:spacing w:val="13"/>
          <w:kern w:val="0"/>
          <w:sz w:val="32"/>
          <w:szCs w:val="32"/>
          <w:lang w:val="en-US" w:eastAsia="zh-CN"/>
        </w:rPr>
        <w:t>1320</w:t>
      </w:r>
      <w:r>
        <w:rPr>
          <w:rFonts w:hint="eastAsia" w:ascii="仿宋_GB2312" w:hAnsi="仿宋_GB2312" w:eastAsia="仿宋_GB2312" w:cs="仿宋_GB2312"/>
          <w:b w:val="0"/>
          <w:bCs w:val="0"/>
          <w:snapToGrid w:val="0"/>
          <w:color w:val="auto"/>
          <w:spacing w:val="13"/>
          <w:kern w:val="0"/>
          <w:sz w:val="32"/>
          <w:szCs w:val="32"/>
          <w:lang w:val="en-US" w:eastAsia="zh-CN"/>
        </w:rPr>
        <w:t>名，有力确保我县应急队伍拉得出、稳定住、能救援，并按要求完成录入“全国应急信息员管理系统”，对变动人员信息实施常态化更新。</w:t>
      </w:r>
    </w:p>
    <w:p w14:paraId="6042028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（四）应急避难场所建设取得一定成效。</w:t>
      </w:r>
      <w:r>
        <w:rPr>
          <w:rFonts w:hint="eastAsia" w:ascii="仿宋_GB2312" w:hAnsi="仿宋_GB2312" w:eastAsia="仿宋_GB2312" w:cs="仿宋_GB2312"/>
          <w:b w:val="0"/>
          <w:bCs w:val="0"/>
          <w:snapToGrid w:val="0"/>
          <w:color w:val="auto"/>
          <w:spacing w:val="13"/>
          <w:kern w:val="0"/>
          <w:sz w:val="32"/>
          <w:szCs w:val="32"/>
          <w:lang w:val="en-US" w:eastAsia="zh-CN"/>
        </w:rPr>
        <w:t>利用公园、广场、体育场、学校等开阔区域设立县级规范化应急避难场所10处，总面积</w:t>
      </w:r>
      <w:r>
        <w:rPr>
          <w:rFonts w:hint="eastAsia" w:ascii="Times New Roman" w:hAnsi="Times New Roman" w:eastAsia="仿宋_GB2312" w:cs="Times New Roman"/>
          <w:b w:val="0"/>
          <w:bCs w:val="0"/>
          <w:snapToGrid w:val="0"/>
          <w:color w:val="auto"/>
          <w:spacing w:val="13"/>
          <w:kern w:val="0"/>
          <w:sz w:val="32"/>
          <w:szCs w:val="32"/>
          <w:lang w:val="en-US" w:eastAsia="zh-CN"/>
        </w:rPr>
        <w:t>30</w:t>
      </w:r>
      <w:r>
        <w:rPr>
          <w:rFonts w:hint="eastAsia" w:ascii="仿宋_GB2312" w:hAnsi="仿宋_GB2312" w:eastAsia="仿宋_GB2312" w:cs="仿宋_GB2312"/>
          <w:b w:val="0"/>
          <w:bCs w:val="0"/>
          <w:snapToGrid w:val="0"/>
          <w:color w:val="auto"/>
          <w:spacing w:val="13"/>
          <w:kern w:val="0"/>
          <w:sz w:val="32"/>
          <w:szCs w:val="32"/>
          <w:lang w:val="en-US" w:eastAsia="zh-CN"/>
        </w:rPr>
        <w:t>万平方米。乡镇（街办、园区）、行政村（社区）建设应急避难场所</w:t>
      </w:r>
      <w:r>
        <w:rPr>
          <w:rFonts w:hint="eastAsia" w:ascii="Times New Roman" w:hAnsi="Times New Roman" w:eastAsia="仿宋_GB2312" w:cs="Times New Roman"/>
          <w:b w:val="0"/>
          <w:bCs w:val="0"/>
          <w:snapToGrid w:val="0"/>
          <w:color w:val="auto"/>
          <w:spacing w:val="13"/>
          <w:kern w:val="0"/>
          <w:sz w:val="32"/>
          <w:szCs w:val="32"/>
          <w:lang w:val="en-US" w:eastAsia="zh-CN"/>
        </w:rPr>
        <w:t>1000</w:t>
      </w:r>
      <w:r>
        <w:rPr>
          <w:rFonts w:hint="eastAsia" w:ascii="仿宋_GB2312" w:hAnsi="仿宋_GB2312" w:eastAsia="仿宋_GB2312" w:cs="仿宋_GB2312"/>
          <w:b w:val="0"/>
          <w:bCs w:val="0"/>
          <w:snapToGrid w:val="0"/>
          <w:color w:val="auto"/>
          <w:spacing w:val="13"/>
          <w:kern w:val="0"/>
          <w:sz w:val="32"/>
          <w:szCs w:val="32"/>
          <w:lang w:val="en-US" w:eastAsia="zh-CN"/>
        </w:rPr>
        <w:t>多处，设置并完善了应急避难指示标志。</w:t>
      </w:r>
    </w:p>
    <w:p w14:paraId="26F9D5B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4"/>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　（五）宣传教育培训工作不断深入。</w:t>
      </w:r>
      <w:r>
        <w:rPr>
          <w:rFonts w:hint="eastAsia" w:ascii="仿宋_GB2312" w:hAnsi="仿宋_GB2312" w:eastAsia="仿宋_GB2312" w:cs="仿宋_GB2312"/>
          <w:b w:val="0"/>
          <w:bCs w:val="0"/>
          <w:snapToGrid w:val="0"/>
          <w:color w:val="auto"/>
          <w:spacing w:val="13"/>
          <w:kern w:val="0"/>
          <w:sz w:val="32"/>
          <w:szCs w:val="32"/>
          <w:lang w:val="en-US" w:eastAsia="zh-CN"/>
        </w:rPr>
        <w:t>高度重视应急知识宣传教育和培训工作，综合防灾减灾宣传教育不断深入，公众防灾减灾意识不断提高。县、乡镇、安委会成员单位等积极开展“安全生产月”“</w:t>
      </w:r>
      <w:r>
        <w:rPr>
          <w:rFonts w:hint="eastAsia" w:ascii="Times New Roman" w:hAnsi="Times New Roman" w:eastAsia="仿宋_GB2312" w:cs="Times New Roman"/>
          <w:b w:val="0"/>
          <w:bCs w:val="0"/>
          <w:snapToGrid w:val="0"/>
          <w:color w:val="auto"/>
          <w:spacing w:val="13"/>
          <w:kern w:val="0"/>
          <w:sz w:val="32"/>
          <w:szCs w:val="32"/>
          <w:lang w:val="en-US" w:eastAsia="zh-CN"/>
        </w:rPr>
        <w:t>11</w:t>
      </w:r>
      <w:r>
        <w:rPr>
          <w:rFonts w:hint="eastAsia" w:ascii="微软雅黑" w:hAnsi="微软雅黑" w:eastAsia="微软雅黑" w:cs="微软雅黑"/>
          <w:b w:val="0"/>
          <w:bCs w:val="0"/>
          <w:snapToGrid w:val="0"/>
          <w:color w:val="auto"/>
          <w:spacing w:val="13"/>
          <w:kern w:val="0"/>
          <w:sz w:val="32"/>
          <w:szCs w:val="32"/>
          <w:lang w:val="en-US" w:eastAsia="zh-CN"/>
        </w:rPr>
        <w:t>·</w:t>
      </w:r>
      <w:r>
        <w:rPr>
          <w:rFonts w:hint="eastAsia" w:ascii="Times New Roman" w:hAnsi="Times New Roman" w:eastAsia="仿宋_GB2312" w:cs="Times New Roman"/>
          <w:b w:val="0"/>
          <w:bCs w:val="0"/>
          <w:snapToGrid w:val="0"/>
          <w:color w:val="auto"/>
          <w:spacing w:val="13"/>
          <w:kern w:val="0"/>
          <w:sz w:val="32"/>
          <w:szCs w:val="32"/>
          <w:lang w:val="en-US" w:eastAsia="zh-CN"/>
        </w:rPr>
        <w:t>9</w:t>
      </w:r>
      <w:r>
        <w:rPr>
          <w:rFonts w:hint="eastAsia" w:ascii="仿宋_GB2312" w:hAnsi="仿宋_GB2312" w:eastAsia="仿宋_GB2312" w:cs="仿宋_GB2312"/>
          <w:b w:val="0"/>
          <w:bCs w:val="0"/>
          <w:snapToGrid w:val="0"/>
          <w:color w:val="auto"/>
          <w:spacing w:val="13"/>
          <w:kern w:val="0"/>
          <w:sz w:val="32"/>
          <w:szCs w:val="32"/>
          <w:lang w:val="en-US" w:eastAsia="zh-CN"/>
        </w:rPr>
        <w:t>消防宣传月”“防灾减灾日”等主题活动，通过宣传教育工作，公众防灾减灾意识、临灾避险和自救互救能力进一步增强，突发事件应对能力逐步提升</w:t>
      </w:r>
      <w:r>
        <w:rPr>
          <w:rFonts w:hint="eastAsia" w:ascii="仿宋_GB2312" w:hAnsi="仿宋_GB2312" w:eastAsia="仿宋_GB2312" w:cs="仿宋_GB2312"/>
          <w:b w:val="0"/>
          <w:bCs w:val="0"/>
          <w:snapToGrid w:val="0"/>
          <w:color w:val="auto"/>
          <w:spacing w:val="4"/>
          <w:kern w:val="0"/>
          <w:sz w:val="32"/>
          <w:szCs w:val="32"/>
          <w:lang w:val="en-US" w:eastAsia="zh-CN"/>
        </w:rPr>
        <w:t>。</w:t>
      </w:r>
    </w:p>
    <w:p w14:paraId="11BE59A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outlineLvl w:val="2"/>
        <w:rPr>
          <w:rFonts w:hint="eastAsia" w:ascii="仿宋_GB2312" w:hAnsi="仿宋_GB2312" w:eastAsia="仿宋_GB2312" w:cs="仿宋_GB2312"/>
          <w:b w:val="0"/>
          <w:bCs w:val="0"/>
          <w:snapToGrid w:val="0"/>
          <w:color w:val="auto"/>
          <w:spacing w:val="9"/>
          <w:kern w:val="0"/>
          <w:sz w:val="32"/>
          <w:szCs w:val="32"/>
          <w:lang w:val="en-US" w:eastAsia="zh-CN"/>
        </w:rPr>
      </w:pPr>
      <w:bookmarkStart w:id="9" w:name="_Toc23794"/>
      <w:r>
        <w:rPr>
          <w:rFonts w:hint="eastAsia" w:ascii="仿宋_GB2312" w:hAnsi="仿宋_GB2312" w:eastAsia="仿宋_GB2312" w:cs="仿宋_GB2312"/>
          <w:b w:val="0"/>
          <w:bCs w:val="0"/>
          <w:snapToGrid w:val="0"/>
          <w:color w:val="auto"/>
          <w:spacing w:val="9"/>
          <w:kern w:val="0"/>
          <w:sz w:val="32"/>
          <w:szCs w:val="32"/>
          <w:lang w:val="en-US" w:eastAsia="zh-CN"/>
        </w:rPr>
        <w:t>　　</w:t>
      </w:r>
      <w:r>
        <w:rPr>
          <w:rFonts w:hint="eastAsia" w:ascii="仿宋_GB2312" w:hAnsi="仿宋_GB2312" w:eastAsia="仿宋_GB2312" w:cs="仿宋_GB2312"/>
          <w:b/>
          <w:bCs/>
          <w:snapToGrid w:val="0"/>
          <w:color w:val="auto"/>
          <w:spacing w:val="9"/>
          <w:kern w:val="0"/>
          <w:sz w:val="32"/>
          <w:szCs w:val="32"/>
          <w:lang w:val="en-US" w:eastAsia="zh-CN"/>
        </w:rPr>
        <w:t>四、重点项目建设</w:t>
      </w:r>
      <w:bookmarkEnd w:id="9"/>
      <w:r>
        <w:rPr>
          <w:rFonts w:hint="eastAsia" w:ascii="仿宋_GB2312" w:hAnsi="仿宋_GB2312" w:eastAsia="仿宋_GB2312" w:cs="仿宋_GB2312"/>
          <w:b/>
          <w:bCs/>
          <w:snapToGrid w:val="0"/>
          <w:color w:val="auto"/>
          <w:spacing w:val="9"/>
          <w:kern w:val="0"/>
          <w:sz w:val="32"/>
          <w:szCs w:val="32"/>
          <w:lang w:val="en-US" w:eastAsia="zh-CN"/>
        </w:rPr>
        <w:t>工作初见成效</w:t>
      </w:r>
    </w:p>
    <w:p w14:paraId="5781F25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“十四五”期间，墨玉县应急管理局围绕消防和应急两大关键领域，实施重点项目</w:t>
      </w:r>
      <w:r>
        <w:rPr>
          <w:rFonts w:hint="eastAsia" w:ascii="Times New Roman" w:hAnsi="Times New Roman" w:eastAsia="仿宋_GB2312" w:cs="Times New Roman"/>
          <w:b w:val="0"/>
          <w:bCs w:val="0"/>
          <w:snapToGrid w:val="0"/>
          <w:color w:val="auto"/>
          <w:spacing w:val="13"/>
          <w:kern w:val="0"/>
          <w:sz w:val="32"/>
          <w:szCs w:val="32"/>
          <w:lang w:val="en-US" w:eastAsia="zh-CN"/>
        </w:rPr>
        <w:t>5</w:t>
      </w:r>
      <w:r>
        <w:rPr>
          <w:rFonts w:hint="eastAsia" w:ascii="仿宋_GB2312" w:hAnsi="仿宋_GB2312" w:eastAsia="仿宋_GB2312" w:cs="仿宋_GB2312"/>
          <w:b w:val="0"/>
          <w:bCs w:val="0"/>
          <w:snapToGrid w:val="0"/>
          <w:color w:val="auto"/>
          <w:spacing w:val="13"/>
          <w:kern w:val="0"/>
          <w:sz w:val="32"/>
          <w:szCs w:val="32"/>
          <w:lang w:val="en-US" w:eastAsia="zh-CN"/>
        </w:rPr>
        <w:t>个，其中消防领域</w:t>
      </w:r>
      <w:r>
        <w:rPr>
          <w:rFonts w:hint="eastAsia" w:ascii="Times New Roman" w:hAnsi="Times New Roman" w:eastAsia="仿宋_GB2312" w:cs="Times New Roman"/>
          <w:b w:val="0"/>
          <w:bCs w:val="0"/>
          <w:snapToGrid w:val="0"/>
          <w:color w:val="auto"/>
          <w:spacing w:val="13"/>
          <w:kern w:val="0"/>
          <w:sz w:val="32"/>
          <w:szCs w:val="32"/>
          <w:lang w:val="en-US" w:eastAsia="zh-CN"/>
        </w:rPr>
        <w:t>4</w:t>
      </w:r>
      <w:r>
        <w:rPr>
          <w:rFonts w:hint="eastAsia" w:ascii="仿宋_GB2312" w:hAnsi="仿宋_GB2312" w:eastAsia="仿宋_GB2312" w:cs="仿宋_GB2312"/>
          <w:b w:val="0"/>
          <w:bCs w:val="0"/>
          <w:snapToGrid w:val="0"/>
          <w:color w:val="auto"/>
          <w:spacing w:val="13"/>
          <w:kern w:val="0"/>
          <w:sz w:val="32"/>
          <w:szCs w:val="32"/>
          <w:lang w:val="en-US" w:eastAsia="zh-CN"/>
        </w:rPr>
        <w:t>个，应急领域</w:t>
      </w:r>
      <w:r>
        <w:rPr>
          <w:rFonts w:hint="eastAsia" w:ascii="Times New Roman" w:hAnsi="Times New Roman" w:eastAsia="仿宋_GB2312" w:cs="Times New Roman"/>
          <w:b w:val="0"/>
          <w:bCs w:val="0"/>
          <w:snapToGrid w:val="0"/>
          <w:color w:val="auto"/>
          <w:spacing w:val="13"/>
          <w:kern w:val="0"/>
          <w:sz w:val="32"/>
          <w:szCs w:val="32"/>
          <w:lang w:val="en-US" w:eastAsia="zh-CN"/>
        </w:rPr>
        <w:t>1</w:t>
      </w:r>
      <w:r>
        <w:rPr>
          <w:rFonts w:hint="eastAsia" w:ascii="仿宋_GB2312" w:hAnsi="仿宋_GB2312" w:eastAsia="仿宋_GB2312" w:cs="仿宋_GB2312"/>
          <w:b w:val="0"/>
          <w:bCs w:val="0"/>
          <w:snapToGrid w:val="0"/>
          <w:color w:val="auto"/>
          <w:spacing w:val="13"/>
          <w:kern w:val="0"/>
          <w:sz w:val="32"/>
          <w:szCs w:val="32"/>
          <w:lang w:val="en-US" w:eastAsia="zh-CN"/>
        </w:rPr>
        <w:t>个。总投资</w:t>
      </w:r>
      <w:r>
        <w:rPr>
          <w:rFonts w:hint="eastAsia" w:ascii="Times New Roman" w:hAnsi="Times New Roman" w:eastAsia="仿宋_GB2312" w:cs="Times New Roman"/>
          <w:b w:val="0"/>
          <w:bCs w:val="0"/>
          <w:snapToGrid w:val="0"/>
          <w:color w:val="auto"/>
          <w:spacing w:val="13"/>
          <w:kern w:val="0"/>
          <w:sz w:val="32"/>
          <w:szCs w:val="32"/>
          <w:lang w:val="en-US" w:eastAsia="zh-CN"/>
        </w:rPr>
        <w:t>6495</w:t>
      </w:r>
      <w:r>
        <w:rPr>
          <w:rFonts w:hint="eastAsia" w:ascii="仿宋_GB2312" w:hAnsi="仿宋_GB2312" w:eastAsia="仿宋_GB2312" w:cs="仿宋_GB2312"/>
          <w:b w:val="0"/>
          <w:bCs w:val="0"/>
          <w:snapToGrid w:val="0"/>
          <w:color w:val="auto"/>
          <w:spacing w:val="13"/>
          <w:kern w:val="0"/>
          <w:sz w:val="32"/>
          <w:szCs w:val="32"/>
          <w:lang w:val="en-US" w:eastAsia="zh-CN"/>
        </w:rPr>
        <w:t>万元，其中援疆资金</w:t>
      </w:r>
      <w:r>
        <w:rPr>
          <w:rFonts w:hint="eastAsia" w:ascii="Times New Roman" w:hAnsi="Times New Roman" w:eastAsia="仿宋_GB2312" w:cs="Times New Roman"/>
          <w:b w:val="0"/>
          <w:bCs w:val="0"/>
          <w:snapToGrid w:val="0"/>
          <w:color w:val="auto"/>
          <w:spacing w:val="13"/>
          <w:kern w:val="0"/>
          <w:sz w:val="32"/>
          <w:szCs w:val="32"/>
          <w:lang w:val="en-US" w:eastAsia="zh-CN"/>
        </w:rPr>
        <w:t>4200</w:t>
      </w:r>
      <w:r>
        <w:rPr>
          <w:rFonts w:hint="eastAsia" w:ascii="仿宋_GB2312" w:hAnsi="仿宋_GB2312" w:eastAsia="仿宋_GB2312" w:cs="仿宋_GB2312"/>
          <w:b w:val="0"/>
          <w:bCs w:val="0"/>
          <w:snapToGrid w:val="0"/>
          <w:color w:val="auto"/>
          <w:spacing w:val="13"/>
          <w:kern w:val="0"/>
          <w:sz w:val="32"/>
          <w:szCs w:val="32"/>
          <w:lang w:val="en-US" w:eastAsia="zh-CN"/>
        </w:rPr>
        <w:t>万元，一般债券资金</w:t>
      </w:r>
      <w:r>
        <w:rPr>
          <w:rFonts w:hint="eastAsia" w:ascii="Times New Roman" w:hAnsi="Times New Roman" w:eastAsia="仿宋_GB2312" w:cs="Times New Roman"/>
          <w:b w:val="0"/>
          <w:bCs w:val="0"/>
          <w:snapToGrid w:val="0"/>
          <w:color w:val="auto"/>
          <w:spacing w:val="13"/>
          <w:kern w:val="0"/>
          <w:sz w:val="32"/>
          <w:szCs w:val="32"/>
          <w:lang w:val="en-US" w:eastAsia="zh-CN"/>
        </w:rPr>
        <w:t>1000</w:t>
      </w:r>
      <w:r>
        <w:rPr>
          <w:rFonts w:hint="eastAsia" w:ascii="仿宋_GB2312" w:hAnsi="仿宋_GB2312" w:eastAsia="仿宋_GB2312" w:cs="仿宋_GB2312"/>
          <w:b w:val="0"/>
          <w:bCs w:val="0"/>
          <w:snapToGrid w:val="0"/>
          <w:color w:val="auto"/>
          <w:spacing w:val="13"/>
          <w:kern w:val="0"/>
          <w:sz w:val="32"/>
          <w:szCs w:val="32"/>
          <w:lang w:val="en-US" w:eastAsia="zh-CN"/>
        </w:rPr>
        <w:t>万元，专项债券资金</w:t>
      </w:r>
      <w:r>
        <w:rPr>
          <w:rFonts w:hint="eastAsia" w:ascii="Times New Roman" w:hAnsi="Times New Roman" w:eastAsia="仿宋_GB2312" w:cs="Times New Roman"/>
          <w:b w:val="0"/>
          <w:bCs w:val="0"/>
          <w:snapToGrid w:val="0"/>
          <w:color w:val="auto"/>
          <w:spacing w:val="13"/>
          <w:kern w:val="0"/>
          <w:sz w:val="32"/>
          <w:szCs w:val="32"/>
          <w:lang w:val="en-US" w:eastAsia="zh-CN"/>
        </w:rPr>
        <w:t>1295</w:t>
      </w:r>
      <w:r>
        <w:rPr>
          <w:rFonts w:hint="eastAsia" w:ascii="仿宋_GB2312" w:hAnsi="仿宋_GB2312" w:eastAsia="仿宋_GB2312" w:cs="仿宋_GB2312"/>
          <w:snapToGrid w:val="0"/>
          <w:color w:val="auto"/>
          <w:spacing w:val="13"/>
          <w:kern w:val="0"/>
          <w:sz w:val="32"/>
          <w:szCs w:val="32"/>
          <w:lang w:val="en-US" w:eastAsia="zh-CN"/>
        </w:rPr>
        <w:t>万元。重点项目的实施显著提升了县域应急管理能力，为保障全县安全稳定奠定了坚实基础。</w:t>
      </w:r>
    </w:p>
    <w:p w14:paraId="7B048BD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w:t>
      </w:r>
      <w:r>
        <w:rPr>
          <w:rFonts w:hint="eastAsia" w:ascii="Times New Roman" w:hAnsi="Times New Roman" w:eastAsia="仿宋_GB2312" w:cs="Times New Roman"/>
          <w:b/>
          <w:bCs/>
          <w:snapToGrid w:val="0"/>
          <w:color w:val="auto"/>
          <w:spacing w:val="13"/>
          <w:kern w:val="0"/>
          <w:sz w:val="32"/>
          <w:szCs w:val="32"/>
          <w:lang w:val="en-US" w:eastAsia="zh-CN"/>
        </w:rPr>
        <w:t>（一）</w:t>
      </w:r>
      <w:r>
        <w:rPr>
          <w:rFonts w:hint="eastAsia" w:ascii="仿宋_GB2312" w:hAnsi="仿宋_GB2312" w:eastAsia="仿宋_GB2312" w:cs="仿宋_GB2312"/>
          <w:b/>
          <w:bCs/>
          <w:snapToGrid w:val="0"/>
          <w:color w:val="auto"/>
          <w:spacing w:val="13"/>
          <w:kern w:val="0"/>
          <w:sz w:val="32"/>
          <w:szCs w:val="32"/>
          <w:lang w:val="en-US" w:eastAsia="zh-CN"/>
        </w:rPr>
        <w:t>消防应急救援能力得到极大提升。</w:t>
      </w:r>
      <w:r>
        <w:rPr>
          <w:rFonts w:hint="eastAsia" w:ascii="仿宋_GB2312" w:hAnsi="仿宋_GB2312" w:eastAsia="仿宋_GB2312" w:cs="仿宋_GB2312"/>
          <w:snapToGrid w:val="0"/>
          <w:color w:val="auto"/>
          <w:spacing w:val="13"/>
          <w:kern w:val="0"/>
          <w:sz w:val="32"/>
          <w:szCs w:val="32"/>
          <w:lang w:val="en-US" w:eastAsia="zh-CN"/>
        </w:rPr>
        <w:t>在县委、县政府和北京援疆墨玉指挥部的大力支持下，分别投入</w:t>
      </w:r>
      <w:r>
        <w:rPr>
          <w:rFonts w:hint="eastAsia" w:ascii="Times New Roman" w:hAnsi="Times New Roman" w:eastAsia="仿宋_GB2312" w:cs="Times New Roman"/>
          <w:b w:val="0"/>
          <w:bCs w:val="0"/>
          <w:snapToGrid w:val="0"/>
          <w:color w:val="auto"/>
          <w:spacing w:val="13"/>
          <w:kern w:val="0"/>
          <w:sz w:val="32"/>
          <w:szCs w:val="32"/>
          <w:lang w:val="en-US" w:eastAsia="zh-CN"/>
        </w:rPr>
        <w:t>1200</w:t>
      </w:r>
      <w:r>
        <w:rPr>
          <w:rFonts w:hint="eastAsia" w:ascii="仿宋_GB2312" w:hAnsi="仿宋_GB2312" w:eastAsia="仿宋_GB2312" w:cs="仿宋_GB2312"/>
          <w:snapToGrid w:val="0"/>
          <w:color w:val="auto"/>
          <w:spacing w:val="13"/>
          <w:kern w:val="0"/>
          <w:sz w:val="32"/>
          <w:szCs w:val="32"/>
          <w:lang w:val="en-US" w:eastAsia="zh-CN"/>
        </w:rPr>
        <w:t>万元援疆资金和</w:t>
      </w:r>
      <w:r>
        <w:rPr>
          <w:rFonts w:hint="eastAsia" w:ascii="Times New Roman" w:hAnsi="Times New Roman" w:eastAsia="仿宋_GB2312" w:cs="Times New Roman"/>
          <w:b w:val="0"/>
          <w:bCs w:val="0"/>
          <w:snapToGrid w:val="0"/>
          <w:color w:val="auto"/>
          <w:spacing w:val="13"/>
          <w:kern w:val="0"/>
          <w:sz w:val="32"/>
          <w:szCs w:val="32"/>
          <w:lang w:val="en-US" w:eastAsia="zh-CN"/>
        </w:rPr>
        <w:t>1000</w:t>
      </w:r>
      <w:r>
        <w:rPr>
          <w:rFonts w:hint="eastAsia" w:ascii="仿宋_GB2312" w:hAnsi="仿宋_GB2312" w:eastAsia="仿宋_GB2312" w:cs="仿宋_GB2312"/>
          <w:snapToGrid w:val="0"/>
          <w:color w:val="auto"/>
          <w:spacing w:val="13"/>
          <w:kern w:val="0"/>
          <w:sz w:val="32"/>
          <w:szCs w:val="32"/>
          <w:lang w:val="en-US" w:eastAsia="zh-CN"/>
        </w:rPr>
        <w:t>万元一般债券资金，购置了性能先进的消防车和液压破拆工具、雷达搜救生命探测仪等设备，弥补了我县消防救援车辆短缺和紧急救援搜救装备不足的短板。投入</w:t>
      </w:r>
      <w:r>
        <w:rPr>
          <w:rFonts w:hint="eastAsia" w:ascii="Times New Roman" w:hAnsi="Times New Roman" w:eastAsia="仿宋_GB2312" w:cs="Times New Roman"/>
          <w:b w:val="0"/>
          <w:bCs w:val="0"/>
          <w:snapToGrid w:val="0"/>
          <w:color w:val="auto"/>
          <w:spacing w:val="13"/>
          <w:kern w:val="0"/>
          <w:sz w:val="32"/>
          <w:szCs w:val="32"/>
          <w:lang w:val="en-US" w:eastAsia="zh-CN"/>
        </w:rPr>
        <w:t>3000</w:t>
      </w:r>
      <w:r>
        <w:rPr>
          <w:rFonts w:hint="eastAsia" w:ascii="仿宋_GB2312" w:hAnsi="仿宋_GB2312" w:eastAsia="仿宋_GB2312" w:cs="仿宋_GB2312"/>
          <w:snapToGrid w:val="0"/>
          <w:color w:val="auto"/>
          <w:spacing w:val="13"/>
          <w:kern w:val="0"/>
          <w:sz w:val="32"/>
          <w:szCs w:val="32"/>
          <w:lang w:val="en-US" w:eastAsia="zh-CN"/>
        </w:rPr>
        <w:t>万元援疆资金新建现代农业园区消防站和外环西路消防站备勤楼项目。上述项目的建成为园区及周边区域的消防安全和应急救援能力提升提供了有力保障。​</w:t>
      </w:r>
    </w:p>
    <w:p w14:paraId="5326E65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（二）应急管理领域实现向智能化方向转变。</w:t>
      </w:r>
      <w:r>
        <w:rPr>
          <w:rFonts w:hint="eastAsia" w:ascii="仿宋_GB2312" w:hAnsi="仿宋_GB2312" w:eastAsia="仿宋_GB2312" w:cs="仿宋_GB2312"/>
          <w:snapToGrid w:val="0"/>
          <w:color w:val="auto"/>
          <w:spacing w:val="13"/>
          <w:kern w:val="0"/>
          <w:sz w:val="32"/>
          <w:szCs w:val="32"/>
          <w:lang w:val="en-US" w:eastAsia="zh-CN"/>
        </w:rPr>
        <w:t>依靠数字交通公共安全应急服务平台项目，投入</w:t>
      </w:r>
      <w:r>
        <w:rPr>
          <w:rFonts w:hint="eastAsia" w:ascii="Times New Roman" w:hAnsi="Times New Roman" w:eastAsia="仿宋_GB2312" w:cs="Times New Roman"/>
          <w:b w:val="0"/>
          <w:bCs w:val="0"/>
          <w:snapToGrid w:val="0"/>
          <w:color w:val="auto"/>
          <w:spacing w:val="13"/>
          <w:kern w:val="0"/>
          <w:sz w:val="32"/>
          <w:szCs w:val="32"/>
          <w:lang w:val="en-US" w:eastAsia="zh-CN"/>
        </w:rPr>
        <w:t>1295</w:t>
      </w:r>
      <w:r>
        <w:rPr>
          <w:rFonts w:hint="eastAsia" w:ascii="仿宋_GB2312" w:hAnsi="仿宋_GB2312" w:eastAsia="仿宋_GB2312" w:cs="仿宋_GB2312"/>
          <w:snapToGrid w:val="0"/>
          <w:color w:val="auto"/>
          <w:spacing w:val="13"/>
          <w:kern w:val="0"/>
          <w:sz w:val="32"/>
          <w:szCs w:val="32"/>
          <w:lang w:val="en-US" w:eastAsia="zh-CN"/>
        </w:rPr>
        <w:t>万元，在县委旁（老信访局）建成墨玉县应急指挥中心，初步搭建起涵盖安全生产、防灾减灾、应急救援、指挥调度、视频巡查、会议调度、一氧化碳主动预警、隐患问题闭环整改等多功能于一体的应急指挥管理系统，显著提升了应急管理智能化水平与决策效率，推动应急管理能力向智能化方向大步迈进。</w:t>
      </w:r>
    </w:p>
    <w:p w14:paraId="5E9D180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（三）助力安全生产监管信息化能力提升。</w:t>
      </w:r>
      <w:r>
        <w:rPr>
          <w:rFonts w:hint="eastAsia" w:ascii="Times New Roman" w:hAnsi="Times New Roman" w:eastAsia="仿宋_GB2312" w:cs="Times New Roman"/>
          <w:b w:val="0"/>
          <w:bCs w:val="0"/>
          <w:snapToGrid w:val="0"/>
          <w:color w:val="auto"/>
          <w:spacing w:val="13"/>
          <w:kern w:val="0"/>
          <w:sz w:val="32"/>
          <w:szCs w:val="32"/>
          <w:lang w:val="en-US" w:eastAsia="zh-CN"/>
        </w:rPr>
        <w:t>2025</w:t>
      </w:r>
      <w:r>
        <w:rPr>
          <w:rFonts w:hint="eastAsia" w:ascii="仿宋_GB2312" w:hAnsi="仿宋_GB2312" w:eastAsia="仿宋_GB2312" w:cs="仿宋_GB2312"/>
          <w:snapToGrid w:val="0"/>
          <w:color w:val="auto"/>
          <w:spacing w:val="13"/>
          <w:kern w:val="0"/>
          <w:sz w:val="32"/>
          <w:szCs w:val="32"/>
          <w:lang w:val="en-US" w:eastAsia="zh-CN"/>
        </w:rPr>
        <w:t>年筹建干渠</w:t>
      </w:r>
      <w:r>
        <w:rPr>
          <w:rFonts w:hint="eastAsia" w:ascii="Times New Roman" w:hAnsi="Times New Roman" w:eastAsia="仿宋_GB2312" w:cs="Times New Roman"/>
          <w:b w:val="0"/>
          <w:bCs w:val="0"/>
          <w:snapToGrid w:val="0"/>
          <w:color w:val="auto"/>
          <w:spacing w:val="13"/>
          <w:kern w:val="0"/>
          <w:sz w:val="32"/>
          <w:szCs w:val="32"/>
          <w:lang w:val="en-US" w:eastAsia="zh-CN"/>
        </w:rPr>
        <w:t>1</w:t>
      </w:r>
      <w:r>
        <w:rPr>
          <w:rFonts w:hint="eastAsia" w:ascii="仿宋_GB2312" w:hAnsi="仿宋_GB2312" w:eastAsia="仿宋_GB2312" w:cs="仿宋_GB2312"/>
          <w:snapToGrid w:val="0"/>
          <w:color w:val="auto"/>
          <w:spacing w:val="13"/>
          <w:kern w:val="0"/>
          <w:sz w:val="32"/>
          <w:szCs w:val="32"/>
          <w:lang w:val="en-US" w:eastAsia="zh-CN"/>
        </w:rPr>
        <w:t>区石灰岩矿视频智能监控子系统建设项目，总投资</w:t>
      </w:r>
      <w:r>
        <w:rPr>
          <w:rFonts w:hint="eastAsia" w:ascii="Times New Roman" w:hAnsi="Times New Roman" w:eastAsia="仿宋_GB2312" w:cs="Times New Roman"/>
          <w:b w:val="0"/>
          <w:bCs w:val="0"/>
          <w:snapToGrid w:val="0"/>
          <w:color w:val="auto"/>
          <w:spacing w:val="13"/>
          <w:kern w:val="0"/>
          <w:sz w:val="32"/>
          <w:szCs w:val="32"/>
          <w:lang w:val="en-US" w:eastAsia="zh-CN"/>
        </w:rPr>
        <w:t>100</w:t>
      </w:r>
      <w:r>
        <w:rPr>
          <w:rFonts w:hint="eastAsia" w:ascii="仿宋_GB2312" w:hAnsi="仿宋_GB2312" w:eastAsia="仿宋_GB2312" w:cs="仿宋_GB2312"/>
          <w:snapToGrid w:val="0"/>
          <w:color w:val="auto"/>
          <w:spacing w:val="13"/>
          <w:kern w:val="0"/>
          <w:sz w:val="32"/>
          <w:szCs w:val="32"/>
          <w:lang w:val="en-US" w:eastAsia="zh-CN"/>
        </w:rPr>
        <w:t>万元，其中中央补助资金</w:t>
      </w:r>
      <w:r>
        <w:rPr>
          <w:rFonts w:hint="eastAsia" w:ascii="Times New Roman" w:hAnsi="Times New Roman" w:eastAsia="仿宋_GB2312" w:cs="Times New Roman"/>
          <w:b w:val="0"/>
          <w:bCs w:val="0"/>
          <w:snapToGrid w:val="0"/>
          <w:color w:val="auto"/>
          <w:spacing w:val="13"/>
          <w:kern w:val="0"/>
          <w:sz w:val="32"/>
          <w:szCs w:val="32"/>
          <w:lang w:val="en-US" w:eastAsia="zh-CN"/>
        </w:rPr>
        <w:t>80</w:t>
      </w:r>
      <w:r>
        <w:rPr>
          <w:rFonts w:hint="eastAsia" w:ascii="仿宋_GB2312" w:hAnsi="仿宋_GB2312" w:eastAsia="仿宋_GB2312" w:cs="仿宋_GB2312"/>
          <w:snapToGrid w:val="0"/>
          <w:color w:val="auto"/>
          <w:spacing w:val="13"/>
          <w:kern w:val="0"/>
          <w:sz w:val="32"/>
          <w:szCs w:val="32"/>
          <w:lang w:val="en-US" w:eastAsia="zh-CN"/>
        </w:rPr>
        <w:t>万元，企业投入资金</w:t>
      </w:r>
      <w:r>
        <w:rPr>
          <w:rFonts w:hint="eastAsia" w:ascii="Times New Roman" w:hAnsi="Times New Roman" w:eastAsia="仿宋_GB2312" w:cs="Times New Roman"/>
          <w:b w:val="0"/>
          <w:bCs w:val="0"/>
          <w:snapToGrid w:val="0"/>
          <w:color w:val="auto"/>
          <w:spacing w:val="13"/>
          <w:kern w:val="0"/>
          <w:sz w:val="32"/>
          <w:szCs w:val="32"/>
          <w:lang w:val="en-US" w:eastAsia="zh-CN"/>
        </w:rPr>
        <w:t>20</w:t>
      </w:r>
      <w:r>
        <w:rPr>
          <w:rFonts w:hint="eastAsia" w:ascii="仿宋_GB2312" w:hAnsi="仿宋_GB2312" w:eastAsia="仿宋_GB2312" w:cs="仿宋_GB2312"/>
          <w:snapToGrid w:val="0"/>
          <w:color w:val="auto"/>
          <w:spacing w:val="13"/>
          <w:kern w:val="0"/>
          <w:sz w:val="32"/>
          <w:szCs w:val="32"/>
          <w:lang w:val="en-US" w:eastAsia="zh-CN"/>
        </w:rPr>
        <w:t>万元。该项目大幅提升了企业安全生产监管效率，提高了安全生产监管水平。</w:t>
      </w:r>
    </w:p>
    <w:p w14:paraId="2B473F43">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bookmarkStart w:id="10" w:name="_Toc18869"/>
      <w:bookmarkStart w:id="11" w:name="_Toc279"/>
      <w:bookmarkStart w:id="12" w:name="_Toc11978"/>
      <w:r>
        <w:rPr>
          <w:rFonts w:hint="eastAsia" w:ascii="方正楷体简体" w:hAnsi="方正楷体简体" w:eastAsia="方正楷体简体" w:cs="方正楷体简体"/>
          <w:b/>
          <w:bCs/>
          <w:snapToGrid w:val="0"/>
          <w:color w:val="auto"/>
          <w:spacing w:val="3"/>
          <w:kern w:val="0"/>
          <w:sz w:val="32"/>
          <w:szCs w:val="32"/>
          <w:lang w:val="en-US" w:eastAsia="zh-CN"/>
        </w:rPr>
        <w:t>第二节   存在的主要问题</w:t>
      </w:r>
      <w:bookmarkEnd w:id="10"/>
      <w:bookmarkEnd w:id="11"/>
      <w:bookmarkEnd w:id="12"/>
      <w:bookmarkStart w:id="13" w:name="_Toc20774"/>
    </w:p>
    <w:p w14:paraId="495A2F6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zh-CN"/>
        </w:rPr>
      </w:pPr>
      <w:r>
        <w:rPr>
          <w:rFonts w:hint="eastAsia" w:ascii="仿宋_GB2312" w:hAnsi="仿宋_GB2312" w:eastAsia="仿宋_GB2312" w:cs="仿宋_GB2312"/>
          <w:b/>
          <w:bCs/>
          <w:snapToGrid w:val="0"/>
          <w:color w:val="auto"/>
          <w:spacing w:val="9"/>
          <w:kern w:val="0"/>
          <w:sz w:val="32"/>
          <w:szCs w:val="32"/>
          <w:lang w:val="en-US" w:eastAsia="zh-CN"/>
        </w:rPr>
        <w:t>一、应急管理体系不完善</w:t>
      </w:r>
      <w:bookmarkEnd w:id="13"/>
    </w:p>
    <w:p w14:paraId="2E4CEF5B">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墨玉县应急管理体系仍不完善，各部门防灾减灾救灾机构整合难度大，应急预案数字化水平还较低；企业安全生产监管执法不均衡、主体责任落实不全面；应急与消防尚未实现一体化。</w:t>
      </w:r>
    </w:p>
    <w:p w14:paraId="2FB5F4B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zh-CN"/>
        </w:rPr>
      </w:pPr>
      <w:bookmarkStart w:id="14" w:name="_Toc20249"/>
      <w:r>
        <w:rPr>
          <w:rFonts w:hint="eastAsia" w:ascii="仿宋_GB2312" w:hAnsi="仿宋_GB2312" w:eastAsia="仿宋_GB2312" w:cs="仿宋_GB2312"/>
          <w:b/>
          <w:bCs/>
          <w:snapToGrid w:val="0"/>
          <w:color w:val="auto"/>
          <w:spacing w:val="9"/>
          <w:kern w:val="0"/>
          <w:sz w:val="32"/>
          <w:szCs w:val="32"/>
          <w:lang w:val="en-US" w:eastAsia="zh-CN"/>
        </w:rPr>
        <w:t>二、重大安全风险防控有待提高</w:t>
      </w:r>
      <w:bookmarkEnd w:id="14"/>
    </w:p>
    <w:p w14:paraId="0FE3D5B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风险监测预警平台建设不足，信息分散。生产经营企业风险隐患治理水平不高，部分矿山企业存在安全管理基础薄弱、专业人员配备不足、标准化和智能化建设推进缓慢等问题。</w:t>
      </w:r>
    </w:p>
    <w:p w14:paraId="4DFA8C7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zh-CN" w:bidi="ar-SA"/>
        </w:rPr>
      </w:pPr>
      <w:bookmarkStart w:id="15" w:name="_Toc24607"/>
      <w:r>
        <w:rPr>
          <w:rFonts w:hint="eastAsia" w:ascii="仿宋_GB2312" w:hAnsi="仿宋_GB2312" w:eastAsia="仿宋_GB2312" w:cs="仿宋_GB2312"/>
          <w:b/>
          <w:bCs/>
          <w:snapToGrid w:val="0"/>
          <w:color w:val="auto"/>
          <w:spacing w:val="9"/>
          <w:kern w:val="0"/>
          <w:sz w:val="32"/>
          <w:szCs w:val="32"/>
          <w:lang w:val="en-US" w:eastAsia="zh-CN"/>
        </w:rPr>
        <w:t>三、应急救援力量</w:t>
      </w:r>
      <w:bookmarkEnd w:id="15"/>
      <w:r>
        <w:rPr>
          <w:rFonts w:hint="eastAsia" w:ascii="仿宋_GB2312" w:hAnsi="仿宋_GB2312" w:eastAsia="仿宋_GB2312" w:cs="仿宋_GB2312"/>
          <w:b/>
          <w:bCs/>
          <w:snapToGrid w:val="0"/>
          <w:color w:val="auto"/>
          <w:spacing w:val="9"/>
          <w:kern w:val="0"/>
          <w:sz w:val="32"/>
          <w:szCs w:val="32"/>
          <w:lang w:val="en-US" w:eastAsia="zh-CN"/>
        </w:rPr>
        <w:t>基础薄弱</w:t>
      </w:r>
    </w:p>
    <w:p w14:paraId="46FC168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应急救援队伍总体现状为队伍总数多，但专业队伍力量薄弱，综合性、专业化的应急救援队伍数量不足；社会应急力量分类分级评定和测评工作未开展，社会应急力量与专业应急救援力量之间的共训共练、协同演练等联合活动较少，缺乏实训与配合。</w:t>
      </w:r>
    </w:p>
    <w:p w14:paraId="349FAB4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zh-CN"/>
        </w:rPr>
      </w:pPr>
      <w:bookmarkStart w:id="16" w:name="_Toc7839"/>
      <w:r>
        <w:rPr>
          <w:rFonts w:hint="eastAsia" w:ascii="仿宋_GB2312" w:hAnsi="仿宋_GB2312" w:eastAsia="仿宋_GB2312" w:cs="仿宋_GB2312"/>
          <w:b/>
          <w:bCs/>
          <w:snapToGrid w:val="0"/>
          <w:color w:val="auto"/>
          <w:spacing w:val="9"/>
          <w:kern w:val="0"/>
          <w:sz w:val="32"/>
          <w:szCs w:val="32"/>
          <w:lang w:val="en-US" w:eastAsia="zh-CN"/>
        </w:rPr>
        <w:t>四、应急保障水平</w:t>
      </w:r>
      <w:bookmarkEnd w:id="16"/>
      <w:r>
        <w:rPr>
          <w:rFonts w:hint="eastAsia" w:ascii="仿宋_GB2312" w:hAnsi="仿宋_GB2312" w:eastAsia="仿宋_GB2312" w:cs="仿宋_GB2312"/>
          <w:b/>
          <w:bCs/>
          <w:snapToGrid w:val="0"/>
          <w:color w:val="auto"/>
          <w:spacing w:val="9"/>
          <w:kern w:val="0"/>
          <w:sz w:val="32"/>
          <w:szCs w:val="32"/>
          <w:lang w:val="en-US" w:eastAsia="zh-CN"/>
        </w:rPr>
        <w:t>较低</w:t>
      </w:r>
    </w:p>
    <w:p w14:paraId="7251FF2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4"/>
          <w:kern w:val="0"/>
          <w:sz w:val="32"/>
          <w:szCs w:val="32"/>
          <w:lang w:val="en-US" w:eastAsia="zh-CN" w:bidi="ar-SA"/>
        </w:rPr>
      </w:pPr>
      <w:r>
        <w:rPr>
          <w:rFonts w:hint="eastAsia" w:ascii="仿宋_GB2312" w:hAnsi="仿宋_GB2312" w:eastAsia="仿宋_GB2312" w:cs="仿宋_GB2312"/>
          <w:b w:val="0"/>
          <w:bCs w:val="0"/>
          <w:snapToGrid w:val="0"/>
          <w:color w:val="auto"/>
          <w:spacing w:val="13"/>
          <w:kern w:val="0"/>
          <w:sz w:val="32"/>
          <w:szCs w:val="32"/>
          <w:lang w:val="en-US" w:eastAsia="zh-CN"/>
        </w:rPr>
        <w:t>　　应急物资装备管理不科学，全县应急物资装备种类、分布、需求、保管和配送缺乏全链条统一规划和组织实施；应急物资保障能力不高，尚未形成科学储备和分配的机制；应急管理人才稀缺，乡镇、村基层应急管理人员尤为短缺，致使应急管理工作缺乏长期性、稳定性和连续性。</w:t>
      </w:r>
    </w:p>
    <w:p w14:paraId="03799FA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zh-CN"/>
        </w:rPr>
      </w:pPr>
      <w:bookmarkStart w:id="17" w:name="_Toc6102"/>
      <w:r>
        <w:rPr>
          <w:rFonts w:hint="eastAsia" w:ascii="仿宋_GB2312" w:hAnsi="仿宋_GB2312" w:eastAsia="仿宋_GB2312" w:cs="仿宋_GB2312"/>
          <w:b/>
          <w:bCs/>
          <w:snapToGrid w:val="0"/>
          <w:color w:val="auto"/>
          <w:spacing w:val="9"/>
          <w:kern w:val="0"/>
          <w:sz w:val="32"/>
          <w:szCs w:val="32"/>
          <w:lang w:val="en-US" w:eastAsia="zh-CN"/>
        </w:rPr>
        <w:t>五、应急管理培训科普宣教工作仍要加强</w:t>
      </w:r>
      <w:bookmarkEnd w:id="17"/>
    </w:p>
    <w:p w14:paraId="461172DA">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692"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公众安全意识尚待提升，自救互救能力薄弱，安全文化氛围稀薄，缺乏安全文化宣传和培训的长效机制、宣传手段和渠道单一，尚未形成安全知识学习和安全意识培养的积极环境。民众抗灾避灾能力培养不足，参与相关培训的积极性差，无法起到能力提升和行为巩固的作用。</w:t>
      </w:r>
    </w:p>
    <w:p w14:paraId="0BD3D17B">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bookmarkStart w:id="18" w:name="_Toc12738"/>
      <w:bookmarkStart w:id="19" w:name="_Toc2206"/>
      <w:bookmarkStart w:id="20" w:name="_Toc26740"/>
      <w:bookmarkStart w:id="21" w:name="_Toc13267"/>
      <w:r>
        <w:rPr>
          <w:rFonts w:hint="eastAsia" w:ascii="方正楷体简体" w:hAnsi="方正楷体简体" w:eastAsia="方正楷体简体" w:cs="方正楷体简体"/>
          <w:b/>
          <w:bCs/>
          <w:snapToGrid w:val="0"/>
          <w:color w:val="auto"/>
          <w:spacing w:val="3"/>
          <w:kern w:val="0"/>
          <w:sz w:val="32"/>
          <w:szCs w:val="32"/>
          <w:lang w:val="en-US" w:eastAsia="zh-CN"/>
        </w:rPr>
        <w:t>第三节  “十五五”时期面临的形势</w:t>
      </w:r>
      <w:bookmarkEnd w:id="18"/>
      <w:r>
        <w:rPr>
          <w:rFonts w:hint="eastAsia" w:ascii="方正楷体简体" w:hAnsi="方正楷体简体" w:eastAsia="方正楷体简体" w:cs="方正楷体简体"/>
          <w:b/>
          <w:bCs/>
          <w:snapToGrid w:val="0"/>
          <w:color w:val="auto"/>
          <w:spacing w:val="3"/>
          <w:kern w:val="0"/>
          <w:sz w:val="32"/>
          <w:szCs w:val="32"/>
          <w:lang w:val="en-US" w:eastAsia="zh-CN"/>
        </w:rPr>
        <w:t>和挑战</w:t>
      </w:r>
      <w:bookmarkEnd w:id="19"/>
      <w:bookmarkEnd w:id="20"/>
      <w:bookmarkStart w:id="22" w:name="_Toc14657"/>
      <w:bookmarkStart w:id="23" w:name="_Toc10300"/>
    </w:p>
    <w:p w14:paraId="10F9DBAC">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left"/>
        <w:textAlignment w:val="baseline"/>
        <w:outlineLvl w:val="1"/>
        <w:rPr>
          <w:rFonts w:hint="eastAsia" w:ascii="仿宋_GB2312" w:hAnsi="仿宋_GB2312" w:eastAsia="仿宋_GB2312" w:cs="仿宋_GB2312"/>
          <w:b/>
          <w:bCs/>
          <w:snapToGrid w:val="0"/>
          <w:color w:val="auto"/>
          <w:spacing w:val="9"/>
          <w:kern w:val="0"/>
          <w:sz w:val="32"/>
          <w:szCs w:val="32"/>
          <w:lang w:val="en-US" w:eastAsia="zh-CN"/>
        </w:rPr>
      </w:pPr>
      <w:r>
        <w:rPr>
          <w:rFonts w:hint="eastAsia" w:ascii="仿宋_GB2312" w:hAnsi="仿宋_GB2312" w:eastAsia="仿宋_GB2312" w:cs="仿宋_GB2312"/>
          <w:b/>
          <w:bCs/>
          <w:snapToGrid w:val="0"/>
          <w:color w:val="auto"/>
          <w:spacing w:val="9"/>
          <w:kern w:val="0"/>
          <w:sz w:val="32"/>
          <w:szCs w:val="32"/>
          <w:lang w:val="en-US" w:eastAsia="zh-CN"/>
        </w:rPr>
        <w:t>一、有利形势</w:t>
      </w:r>
      <w:bookmarkEnd w:id="22"/>
    </w:p>
    <w:p w14:paraId="66B4C22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bCs/>
          <w:snapToGrid w:val="0"/>
          <w:color w:val="auto"/>
          <w:spacing w:val="13"/>
          <w:kern w:val="0"/>
          <w:sz w:val="32"/>
          <w:szCs w:val="32"/>
          <w:lang w:val="en-US" w:eastAsia="zh-CN"/>
        </w:rPr>
        <w:t>　　（一）党的全面领导为应急管理事业发展提供根本保障。</w:t>
      </w:r>
      <w:r>
        <w:rPr>
          <w:rFonts w:hint="eastAsia" w:ascii="仿宋_GB2312" w:hAnsi="仿宋_GB2312" w:eastAsia="仿宋_GB2312" w:cs="仿宋_GB2312"/>
          <w:b w:val="0"/>
          <w:bCs w:val="0"/>
          <w:snapToGrid w:val="0"/>
          <w:color w:val="auto"/>
          <w:spacing w:val="13"/>
          <w:kern w:val="0"/>
          <w:sz w:val="32"/>
          <w:szCs w:val="32"/>
          <w:lang w:val="en-US" w:eastAsia="zh-CN"/>
        </w:rPr>
        <w:t>以习近平同志为核心的党中央高度重视应急管理工作，将应急管理作为国家治理体系和治理能力重要组成部分，作出了一系列重大决策部署，为应急管理工作指明了方向，提供了根本遵循。统筹发展和安全，为加快构建“大安全、大应急、大减灾”体系，完善应急管理体制，深化推进应急管理事业改革发展提供了根本保障。</w:t>
      </w:r>
    </w:p>
    <w:p w14:paraId="5333130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707"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bCs/>
          <w:snapToGrid w:val="0"/>
          <w:color w:val="auto"/>
          <w:spacing w:val="13"/>
          <w:kern w:val="0"/>
          <w:sz w:val="32"/>
          <w:szCs w:val="32"/>
          <w:lang w:val="en-US" w:eastAsia="zh-CN"/>
        </w:rPr>
        <w:t>（二）统筹发展和安全为应急管理体系现代化提供有利契机。</w:t>
      </w:r>
      <w:r>
        <w:rPr>
          <w:rFonts w:hint="eastAsia" w:ascii="仿宋_GB2312" w:hAnsi="仿宋_GB2312" w:eastAsia="仿宋_GB2312" w:cs="仿宋_GB2312"/>
          <w:b w:val="0"/>
          <w:bCs w:val="0"/>
          <w:snapToGrid w:val="0"/>
          <w:color w:val="auto"/>
          <w:spacing w:val="13"/>
          <w:kern w:val="0"/>
          <w:sz w:val="32"/>
          <w:szCs w:val="32"/>
          <w:lang w:val="en-US" w:eastAsia="zh-CN"/>
        </w:rPr>
        <w:t>立足新发展阶段，完整、准确、全面贯彻新发展理念，构建新发展格局，统筹发展和安全，加快形成以国内大循环为主体、国内国际双循环相互促进的新发展格局，将推动地区新型城镇化、城乡一体化更高质量的区域协同发展，既有利于加快补齐应急管理领域的基础短板，全面提升安全发展水平，又对应急管理工作提出了更高的要求，亟待高水平推进安全生产以及自然灾害的防范防治、应急救援工作，为新发展格局和更高质量发展提供有利契机。</w:t>
      </w:r>
    </w:p>
    <w:p w14:paraId="1E85113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705" w:firstLineChars="0"/>
        <w:jc w:val="both"/>
        <w:textAlignment w:val="baseline"/>
        <w:rPr>
          <w:rFonts w:hint="eastAsia" w:ascii="仿宋_GB2312" w:hAnsi="仿宋_GB2312" w:eastAsia="仿宋_GB2312" w:cs="仿宋_GB2312"/>
          <w:b w:val="0"/>
          <w:bCs w:val="0"/>
          <w:snapToGrid w:val="0"/>
          <w:color w:val="auto"/>
          <w:spacing w:val="4"/>
          <w:kern w:val="0"/>
          <w:sz w:val="32"/>
          <w:szCs w:val="32"/>
          <w:lang w:val="en-US" w:eastAsia="zh-CN" w:bidi="ar-SA"/>
        </w:rPr>
      </w:pPr>
      <w:bookmarkStart w:id="24" w:name="_Toc27130"/>
      <w:r>
        <w:rPr>
          <w:rFonts w:hint="eastAsia" w:ascii="仿宋_GB2312" w:hAnsi="仿宋_GB2312" w:eastAsia="仿宋_GB2312" w:cs="仿宋_GB2312"/>
          <w:b/>
          <w:bCs/>
          <w:snapToGrid w:val="0"/>
          <w:color w:val="auto"/>
          <w:spacing w:val="13"/>
          <w:kern w:val="0"/>
          <w:sz w:val="32"/>
          <w:szCs w:val="32"/>
          <w:lang w:val="en-US" w:eastAsia="zh-CN"/>
        </w:rPr>
        <w:t>（三）深化新疆特色现代化应急管理体系为应急管理工作提供了新的机遇</w:t>
      </w:r>
      <w:bookmarkEnd w:id="24"/>
      <w:r>
        <w:rPr>
          <w:rFonts w:hint="eastAsia" w:ascii="仿宋_GB2312" w:hAnsi="仿宋_GB2312" w:eastAsia="仿宋_GB2312" w:cs="仿宋_GB2312"/>
          <w:b/>
          <w:bCs/>
          <w:snapToGrid w:val="0"/>
          <w:color w:val="auto"/>
          <w:spacing w:val="13"/>
          <w:kern w:val="0"/>
          <w:sz w:val="32"/>
          <w:szCs w:val="32"/>
          <w:lang w:val="en-US" w:eastAsia="zh-CN"/>
        </w:rPr>
        <w:t>。</w:t>
      </w:r>
      <w:r>
        <w:rPr>
          <w:rFonts w:hint="default" w:ascii="Times New Roman" w:hAnsi="Times New Roman" w:eastAsia="仿宋_GB2312" w:cs="Times New Roman"/>
          <w:b w:val="0"/>
          <w:bCs w:val="0"/>
          <w:snapToGrid w:val="0"/>
          <w:color w:val="auto"/>
          <w:spacing w:val="13"/>
          <w:kern w:val="0"/>
          <w:sz w:val="32"/>
          <w:szCs w:val="32"/>
          <w:lang w:val="en-US" w:eastAsia="zh-CN"/>
        </w:rPr>
        <w:t>2025</w:t>
      </w:r>
      <w:r>
        <w:rPr>
          <w:rFonts w:hint="eastAsia" w:ascii="仿宋_GB2312" w:hAnsi="仿宋_GB2312" w:eastAsia="仿宋_GB2312" w:cs="仿宋_GB2312"/>
          <w:b w:val="0"/>
          <w:bCs w:val="0"/>
          <w:snapToGrid w:val="0"/>
          <w:color w:val="auto"/>
          <w:spacing w:val="13"/>
          <w:kern w:val="0"/>
          <w:sz w:val="32"/>
          <w:szCs w:val="32"/>
          <w:lang w:val="en-US" w:eastAsia="zh-CN"/>
        </w:rPr>
        <w:t>年</w:t>
      </w:r>
      <w:r>
        <w:rPr>
          <w:rFonts w:hint="eastAsia" w:ascii="Times New Roman" w:hAnsi="Times New Roman" w:eastAsia="仿宋_GB2312" w:cs="Times New Roman"/>
          <w:b w:val="0"/>
          <w:bCs w:val="0"/>
          <w:snapToGrid w:val="0"/>
          <w:color w:val="auto"/>
          <w:spacing w:val="13"/>
          <w:kern w:val="0"/>
          <w:sz w:val="32"/>
          <w:szCs w:val="32"/>
          <w:lang w:val="en-US" w:eastAsia="zh-CN"/>
        </w:rPr>
        <w:t>1</w:t>
      </w:r>
      <w:r>
        <w:rPr>
          <w:rFonts w:hint="eastAsia" w:ascii="仿宋_GB2312" w:hAnsi="仿宋_GB2312" w:eastAsia="仿宋_GB2312" w:cs="仿宋_GB2312"/>
          <w:b w:val="0"/>
          <w:bCs w:val="0"/>
          <w:snapToGrid w:val="0"/>
          <w:color w:val="auto"/>
          <w:spacing w:val="13"/>
          <w:kern w:val="0"/>
          <w:sz w:val="32"/>
          <w:szCs w:val="32"/>
          <w:lang w:val="en-US" w:eastAsia="zh-CN"/>
        </w:rPr>
        <w:t>月</w:t>
      </w:r>
      <w:r>
        <w:rPr>
          <w:rFonts w:hint="eastAsia" w:ascii="Times New Roman" w:hAnsi="Times New Roman" w:eastAsia="仿宋_GB2312" w:cs="Times New Roman"/>
          <w:b w:val="0"/>
          <w:bCs w:val="0"/>
          <w:snapToGrid w:val="0"/>
          <w:color w:val="auto"/>
          <w:spacing w:val="13"/>
          <w:kern w:val="0"/>
          <w:sz w:val="32"/>
          <w:szCs w:val="32"/>
          <w:lang w:val="en-US" w:eastAsia="zh-CN"/>
        </w:rPr>
        <w:t>18</w:t>
      </w:r>
      <w:r>
        <w:rPr>
          <w:rFonts w:hint="eastAsia" w:ascii="仿宋_GB2312" w:hAnsi="仿宋_GB2312" w:eastAsia="仿宋_GB2312" w:cs="仿宋_GB2312"/>
          <w:b w:val="0"/>
          <w:bCs w:val="0"/>
          <w:snapToGrid w:val="0"/>
          <w:color w:val="auto"/>
          <w:spacing w:val="13"/>
          <w:kern w:val="0"/>
          <w:sz w:val="32"/>
          <w:szCs w:val="32"/>
          <w:lang w:val="en-US" w:eastAsia="zh-CN"/>
        </w:rPr>
        <w:t>日，自治区应急管理工作会议指出，</w:t>
      </w:r>
      <w:r>
        <w:rPr>
          <w:rFonts w:hint="eastAsia" w:ascii="Times New Roman" w:hAnsi="Times New Roman" w:eastAsia="仿宋_GB2312" w:cs="Times New Roman"/>
          <w:b w:val="0"/>
          <w:bCs w:val="0"/>
          <w:snapToGrid w:val="0"/>
          <w:color w:val="auto"/>
          <w:spacing w:val="13"/>
          <w:kern w:val="0"/>
          <w:sz w:val="32"/>
          <w:szCs w:val="32"/>
          <w:lang w:val="en-US" w:eastAsia="zh-CN"/>
        </w:rPr>
        <w:t>2025</w:t>
      </w:r>
      <w:r>
        <w:rPr>
          <w:rFonts w:hint="eastAsia" w:ascii="仿宋_GB2312" w:hAnsi="仿宋_GB2312" w:eastAsia="仿宋_GB2312" w:cs="仿宋_GB2312"/>
          <w:b w:val="0"/>
          <w:bCs w:val="0"/>
          <w:snapToGrid w:val="0"/>
          <w:color w:val="auto"/>
          <w:spacing w:val="13"/>
          <w:kern w:val="0"/>
          <w:sz w:val="32"/>
          <w:szCs w:val="32"/>
          <w:lang w:val="en-US" w:eastAsia="zh-CN"/>
        </w:rPr>
        <w:t>年应急管理工作总体要求是以习近平新时代中国特色社会主义思想为指导，全面贯彻党的二十大和二十届三中全会精神，贯彻落实党中央、国务院决策部署，按照自治区党委、政府工作安排，坚持人民至上、生命至上，统筹发展和安全，着力以改革创新推动应急管理事业高质量发展，全力以赴防范化解重大安全风险，为我县应急管理事业发展提供新的机遇。</w:t>
      </w:r>
    </w:p>
    <w:p w14:paraId="53DE05B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outlineLvl w:val="2"/>
        <w:rPr>
          <w:rFonts w:hint="eastAsia" w:ascii="仿宋_GB2312" w:hAnsi="仿宋_GB2312" w:eastAsia="仿宋_GB2312" w:cs="仿宋_GB2312"/>
          <w:b/>
          <w:bCs/>
          <w:snapToGrid w:val="0"/>
          <w:color w:val="auto"/>
          <w:spacing w:val="9"/>
          <w:kern w:val="0"/>
          <w:sz w:val="32"/>
          <w:szCs w:val="32"/>
          <w:lang w:val="en-US" w:eastAsia="en-US"/>
        </w:rPr>
      </w:pPr>
      <w:r>
        <w:rPr>
          <w:rFonts w:hint="eastAsia" w:ascii="仿宋_GB2312" w:hAnsi="仿宋_GB2312" w:eastAsia="仿宋_GB2312" w:cs="仿宋_GB2312"/>
          <w:b/>
          <w:bCs/>
          <w:snapToGrid w:val="0"/>
          <w:color w:val="auto"/>
          <w:spacing w:val="9"/>
          <w:kern w:val="0"/>
          <w:sz w:val="32"/>
          <w:szCs w:val="32"/>
          <w:lang w:val="en-US" w:eastAsia="zh-CN"/>
        </w:rPr>
        <w:t>　　二、面临的挑战</w:t>
      </w:r>
      <w:bookmarkEnd w:id="23"/>
    </w:p>
    <w:p w14:paraId="7601227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xml:space="preserve">　 </w:t>
      </w:r>
      <w:r>
        <w:rPr>
          <w:rFonts w:hint="eastAsia" w:ascii="仿宋_GB2312" w:hAnsi="仿宋_GB2312" w:eastAsia="仿宋_GB2312" w:cs="仿宋_GB2312"/>
          <w:b/>
          <w:bCs/>
          <w:snapToGrid w:val="0"/>
          <w:color w:val="auto"/>
          <w:spacing w:val="13"/>
          <w:kern w:val="0"/>
          <w:sz w:val="32"/>
          <w:szCs w:val="32"/>
          <w:lang w:val="en-US" w:eastAsia="zh-CN"/>
        </w:rPr>
        <w:t>（一）经济社会发展不平衡带来新挑战。</w:t>
      </w:r>
      <w:r>
        <w:rPr>
          <w:rFonts w:hint="eastAsia" w:ascii="仿宋_GB2312" w:hAnsi="仿宋_GB2312" w:eastAsia="仿宋_GB2312" w:cs="仿宋_GB2312"/>
          <w:b w:val="0"/>
          <w:bCs w:val="0"/>
          <w:snapToGrid w:val="0"/>
          <w:color w:val="auto"/>
          <w:spacing w:val="13"/>
          <w:kern w:val="0"/>
          <w:sz w:val="32"/>
          <w:szCs w:val="32"/>
          <w:lang w:val="en-US" w:eastAsia="zh-CN"/>
        </w:rPr>
        <w:t>新疆经济社会快速发展，新型工业化、城镇化进程加快，城市规模不断扩大，新业态新模式不断涌现，给应急管理工作带来新的挑战。同时，新疆各地经济社会发展水平差异较大，我县地处南疆地区，经济发展相对滞后，基础设施建设薄弱，应急管理能力存在明显短板。</w:t>
      </w:r>
    </w:p>
    <w:p w14:paraId="2A0B683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　（二）防灾减灾救灾形势依旧严峻。</w:t>
      </w:r>
      <w:r>
        <w:rPr>
          <w:rFonts w:hint="eastAsia" w:ascii="仿宋_GB2312" w:hAnsi="仿宋_GB2312" w:eastAsia="仿宋_GB2312" w:cs="仿宋_GB2312"/>
          <w:b w:val="0"/>
          <w:bCs w:val="0"/>
          <w:snapToGrid w:val="0"/>
          <w:color w:val="auto"/>
          <w:spacing w:val="13"/>
          <w:kern w:val="0"/>
          <w:sz w:val="32"/>
          <w:szCs w:val="32"/>
          <w:lang w:val="en-US" w:eastAsia="zh-CN"/>
        </w:rPr>
        <w:t>我县辖区内地质灾害频发，严重威胁人民群众生命财产安全。根据《地质灾害补充调查》资料，并结合墨玉县近</w:t>
      </w:r>
      <w:r>
        <w:rPr>
          <w:rFonts w:hint="eastAsia" w:ascii="Times New Roman" w:hAnsi="Times New Roman" w:eastAsia="仿宋_GB2312" w:cs="Times New Roman"/>
          <w:b w:val="0"/>
          <w:bCs w:val="0"/>
          <w:snapToGrid w:val="0"/>
          <w:color w:val="auto"/>
          <w:spacing w:val="13"/>
          <w:kern w:val="0"/>
          <w:sz w:val="32"/>
          <w:szCs w:val="32"/>
          <w:lang w:val="en-US" w:eastAsia="zh-CN"/>
        </w:rPr>
        <w:t>10</w:t>
      </w:r>
      <w:r>
        <w:rPr>
          <w:rFonts w:hint="eastAsia" w:ascii="仿宋_GB2312" w:hAnsi="仿宋_GB2312" w:eastAsia="仿宋_GB2312" w:cs="仿宋_GB2312"/>
          <w:b w:val="0"/>
          <w:bCs w:val="0"/>
          <w:snapToGrid w:val="0"/>
          <w:color w:val="auto"/>
          <w:spacing w:val="13"/>
          <w:kern w:val="0"/>
          <w:sz w:val="32"/>
          <w:szCs w:val="32"/>
          <w:lang w:val="en-US" w:eastAsia="zh-CN"/>
        </w:rPr>
        <w:t>年地质灾害巡查、群众报灾等资料，全县共分布各类地质灾害（隐患）点</w:t>
      </w:r>
      <w:r>
        <w:rPr>
          <w:rFonts w:hint="default" w:ascii="Times New Roman" w:hAnsi="Times New Roman" w:eastAsia="仿宋_GB2312" w:cs="Times New Roman"/>
          <w:b w:val="0"/>
          <w:bCs w:val="0"/>
          <w:snapToGrid w:val="0"/>
          <w:color w:val="auto"/>
          <w:spacing w:val="13"/>
          <w:kern w:val="0"/>
          <w:sz w:val="32"/>
          <w:szCs w:val="32"/>
          <w:lang w:val="en-US" w:eastAsia="zh-CN"/>
        </w:rPr>
        <w:t>76</w:t>
      </w:r>
      <w:r>
        <w:rPr>
          <w:rFonts w:hint="eastAsia" w:ascii="仿宋_GB2312" w:hAnsi="仿宋_GB2312" w:eastAsia="仿宋_GB2312" w:cs="仿宋_GB2312"/>
          <w:b w:val="0"/>
          <w:bCs w:val="0"/>
          <w:snapToGrid w:val="0"/>
          <w:color w:val="auto"/>
          <w:spacing w:val="13"/>
          <w:kern w:val="0"/>
          <w:sz w:val="32"/>
          <w:szCs w:val="32"/>
          <w:lang w:val="en-US" w:eastAsia="zh-CN"/>
        </w:rPr>
        <w:t>处，灾害类型主要为崩塌、泥石流、滑坡等。</w:t>
      </w:r>
    </w:p>
    <w:p w14:paraId="2222F3A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（三）应急管理体系建设面临巨大挑战。</w:t>
      </w:r>
      <w:r>
        <w:rPr>
          <w:rFonts w:hint="eastAsia" w:ascii="仿宋_GB2312" w:hAnsi="仿宋_GB2312" w:eastAsia="仿宋_GB2312" w:cs="仿宋_GB2312"/>
          <w:b w:val="0"/>
          <w:bCs w:val="0"/>
          <w:snapToGrid w:val="0"/>
          <w:color w:val="auto"/>
          <w:spacing w:val="13"/>
          <w:kern w:val="0"/>
          <w:sz w:val="32"/>
          <w:szCs w:val="32"/>
          <w:lang w:val="en-US" w:eastAsia="zh-CN"/>
        </w:rPr>
        <w:t>我县应急管理局组建时间相对较短，机构设置还存在短板和弱项。应急管理体系建设涉及各级政府、各有关部门和社会各个方面，自然灾害、事故灾难等各类突发事件的关联性、耦合性越来越强，上述因素均给应急管理体系建设带来了巨大挑战。</w:t>
      </w:r>
    </w:p>
    <w:p w14:paraId="0C444CA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692"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bCs/>
          <w:snapToGrid w:val="0"/>
          <w:color w:val="auto"/>
          <w:spacing w:val="13"/>
          <w:kern w:val="0"/>
          <w:sz w:val="32"/>
          <w:szCs w:val="32"/>
          <w:lang w:val="en-US" w:eastAsia="zh-CN"/>
        </w:rPr>
        <w:t>（四）以高质量安全推动县域发展和乡村全面振兴还有差距。</w:t>
      </w:r>
      <w:r>
        <w:rPr>
          <w:rFonts w:hint="eastAsia" w:ascii="仿宋_GB2312" w:hAnsi="仿宋_GB2312" w:eastAsia="仿宋_GB2312" w:cs="仿宋_GB2312"/>
          <w:b w:val="0"/>
          <w:bCs w:val="0"/>
          <w:snapToGrid w:val="0"/>
          <w:color w:val="auto"/>
          <w:spacing w:val="13"/>
          <w:kern w:val="0"/>
          <w:sz w:val="32"/>
          <w:szCs w:val="32"/>
          <w:lang w:val="en-US" w:eastAsia="zh-CN"/>
        </w:rPr>
        <w:t>党的二十届四中全会强调，持续巩固拓展脱贫攻坚成果，并提出统筹建立常态化防止返贫致贫机制。“十五五”时期是过渡期结束后转向常态化精准帮扶的新阶段，统筹建立常态化防止返贫致贫机制，意义重大，影响深远。我县现有的发展成就来之不易，要长久守牢不发生规模性返贫致贫底线的根本之举，尤其是不能因灾因难等安全事故原因再度返贫致贫。</w:t>
      </w:r>
    </w:p>
    <w:p w14:paraId="0FFE1A2A">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692" w:firstLineChars="0"/>
        <w:jc w:val="both"/>
        <w:textAlignment w:val="baseline"/>
        <w:rPr>
          <w:rFonts w:hint="eastAsia" w:ascii="方正仿宋_GB2312" w:hAnsi="方正仿宋_GB2312" w:eastAsia="方正仿宋_GB2312" w:cs="方正仿宋_GB2312"/>
          <w:b w:val="0"/>
          <w:bCs w:val="0"/>
          <w:snapToGrid w:val="0"/>
          <w:color w:val="auto"/>
          <w:spacing w:val="13"/>
          <w:kern w:val="0"/>
          <w:sz w:val="32"/>
          <w:szCs w:val="32"/>
          <w:lang w:val="en-US" w:eastAsia="zh-CN"/>
        </w:rPr>
      </w:pPr>
    </w:p>
    <w:p w14:paraId="4AC52265">
      <w:pPr>
        <w:keepNext w:val="0"/>
        <w:keepLines w:val="0"/>
        <w:pageBreakBefore w:val="0"/>
        <w:widowControl/>
        <w:numPr>
          <w:ilvl w:val="0"/>
          <w:numId w:val="3"/>
        </w:numPr>
        <w:kinsoku w:val="0"/>
        <w:wordWrap/>
        <w:overflowPunct/>
        <w:topLinePunct w:val="0"/>
        <w:autoSpaceDE w:val="0"/>
        <w:autoSpaceDN w:val="0"/>
        <w:bidi w:val="0"/>
        <w:adjustRightInd w:val="0"/>
        <w:snapToGrid w:val="0"/>
        <w:spacing w:afterAutospacing="0" w:line="560" w:lineRule="exact"/>
        <w:ind w:right="0" w:firstLine="1680" w:firstLineChars="500"/>
        <w:jc w:val="left"/>
        <w:textAlignment w:val="baseline"/>
        <w:outlineLvl w:val="0"/>
        <w:rPr>
          <w:rFonts w:hint="eastAsia" w:ascii="黑体" w:hAnsi="黑体" w:eastAsia="黑体" w:cs="黑体"/>
          <w:snapToGrid w:val="0"/>
          <w:color w:val="auto"/>
          <w:spacing w:val="8"/>
          <w:kern w:val="0"/>
          <w:position w:val="1"/>
          <w:sz w:val="32"/>
          <w:szCs w:val="32"/>
          <w:lang w:val="en-US" w:eastAsia="zh-CN"/>
        </w:rPr>
      </w:pPr>
      <w:r>
        <w:rPr>
          <w:rFonts w:hint="eastAsia" w:cs="黑体"/>
          <w:snapToGrid w:val="0"/>
          <w:color w:val="auto"/>
          <w:spacing w:val="8"/>
          <w:kern w:val="0"/>
          <w:position w:val="1"/>
          <w:sz w:val="32"/>
          <w:szCs w:val="32"/>
          <w:lang w:val="en-US" w:eastAsia="zh-CN"/>
        </w:rPr>
        <w:t xml:space="preserve">  </w:t>
      </w:r>
      <w:bookmarkStart w:id="25" w:name="_Toc21361"/>
      <w:r>
        <w:rPr>
          <w:rFonts w:hint="eastAsia" w:ascii="黑体" w:hAnsi="黑体" w:eastAsia="黑体" w:cs="黑体"/>
          <w:snapToGrid w:val="0"/>
          <w:color w:val="auto"/>
          <w:spacing w:val="8"/>
          <w:kern w:val="0"/>
          <w:position w:val="1"/>
          <w:sz w:val="32"/>
          <w:szCs w:val="32"/>
          <w:lang w:val="en-US" w:eastAsia="zh-CN"/>
        </w:rPr>
        <w:t>基本思路、基本原则和主要目标</w:t>
      </w:r>
      <w:bookmarkEnd w:id="21"/>
      <w:bookmarkEnd w:id="25"/>
      <w:bookmarkStart w:id="26" w:name="_Toc11598"/>
    </w:p>
    <w:p w14:paraId="4E96875D">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default" w:ascii="方正楷体简体" w:hAnsi="方正楷体简体" w:eastAsia="方正楷体简体" w:cs="方正楷体简体"/>
          <w:b/>
          <w:bCs/>
          <w:snapToGrid w:val="0"/>
          <w:color w:val="auto"/>
          <w:spacing w:val="3"/>
          <w:kern w:val="0"/>
          <w:sz w:val="32"/>
          <w:szCs w:val="32"/>
          <w:lang w:val="en-US" w:eastAsia="zh-CN"/>
        </w:rPr>
      </w:pPr>
      <w:bookmarkStart w:id="27" w:name="_Toc18562"/>
      <w:bookmarkStart w:id="28" w:name="_Toc12872"/>
      <w:r>
        <w:rPr>
          <w:rFonts w:hint="eastAsia" w:ascii="方正楷体简体" w:hAnsi="方正楷体简体" w:eastAsia="方正楷体简体" w:cs="方正楷体简体"/>
          <w:b/>
          <w:bCs/>
          <w:snapToGrid w:val="0"/>
          <w:color w:val="auto"/>
          <w:spacing w:val="3"/>
          <w:kern w:val="0"/>
          <w:sz w:val="32"/>
          <w:szCs w:val="32"/>
          <w:lang w:val="en-US" w:eastAsia="zh-CN"/>
        </w:rPr>
        <w:t xml:space="preserve">第一节    </w:t>
      </w:r>
      <w:bookmarkEnd w:id="26"/>
      <w:bookmarkEnd w:id="27"/>
      <w:bookmarkEnd w:id="28"/>
      <w:r>
        <w:rPr>
          <w:rFonts w:hint="eastAsia" w:ascii="方正楷体简体" w:hAnsi="方正楷体简体" w:eastAsia="方正楷体简体" w:cs="方正楷体简体"/>
          <w:b/>
          <w:bCs/>
          <w:snapToGrid w:val="0"/>
          <w:color w:val="auto"/>
          <w:spacing w:val="3"/>
          <w:kern w:val="0"/>
          <w:sz w:val="32"/>
          <w:szCs w:val="32"/>
          <w:lang w:val="en-US" w:eastAsia="zh-CN"/>
        </w:rPr>
        <w:t>基本思路</w:t>
      </w:r>
    </w:p>
    <w:p w14:paraId="70D5F36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92"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坚持以习近平新时代中国特色社会主义思想为指导，全面贯彻党的二十大和二十届二中、三中、四中全会精神，紧紧围绕全面建设社会主义现代化国家这个总目标，深入贯彻习近平总书记关于应急管理工作的重要论述，深入贯彻落实第三次中央新疆工作座谈会精神，贯彻落实新时代党的治疆方略，坚持人民至上、生命至上，立足建立大安全大应急框架，以高效应对处置各类灾害事故为主线，完善应急指挥体系，健全应急指挥机制，全面实现从事后处置向事前预防的转型提升，最大限度防范灾害事故，最大限度减少人员伤亡和经济损失。</w:t>
      </w:r>
    </w:p>
    <w:p w14:paraId="4022648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692"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p>
    <w:p w14:paraId="318A23F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jc w:val="center"/>
        <w:textAlignment w:val="baseline"/>
        <w:outlineLvl w:val="1"/>
        <w:rPr>
          <w:rFonts w:hint="eastAsia" w:ascii="微软雅黑" w:hAnsi="微软雅黑" w:eastAsia="微软雅黑" w:cs="微软雅黑"/>
          <w:b/>
          <w:bCs/>
          <w:snapToGrid w:val="0"/>
          <w:color w:val="auto"/>
          <w:spacing w:val="17"/>
          <w:kern w:val="0"/>
          <w:sz w:val="31"/>
          <w:szCs w:val="31"/>
          <w:lang w:val="en-US" w:eastAsia="zh-CN"/>
        </w:rPr>
      </w:pPr>
      <w:bookmarkStart w:id="29" w:name="_Toc9192"/>
      <w:bookmarkStart w:id="30" w:name="_Toc9824"/>
      <w:r>
        <w:rPr>
          <w:rFonts w:hint="eastAsia" w:ascii="方正楷体简体" w:hAnsi="方正楷体简体" w:eastAsia="方正楷体简体" w:cs="方正楷体简体"/>
          <w:b/>
          <w:bCs/>
          <w:snapToGrid w:val="0"/>
          <w:color w:val="auto"/>
          <w:spacing w:val="3"/>
          <w:kern w:val="0"/>
          <w:sz w:val="32"/>
          <w:szCs w:val="32"/>
          <w:lang w:val="en-US" w:eastAsia="zh-CN"/>
        </w:rPr>
        <w:t xml:space="preserve">第二节  </w:t>
      </w:r>
      <w:bookmarkStart w:id="31" w:name="_Toc25637"/>
      <w:r>
        <w:rPr>
          <w:rFonts w:hint="eastAsia" w:ascii="方正楷体简体" w:hAnsi="方正楷体简体" w:eastAsia="方正楷体简体" w:cs="方正楷体简体"/>
          <w:b/>
          <w:bCs/>
          <w:snapToGrid w:val="0"/>
          <w:color w:val="auto"/>
          <w:spacing w:val="3"/>
          <w:kern w:val="0"/>
          <w:sz w:val="32"/>
          <w:szCs w:val="32"/>
          <w:lang w:val="en-US" w:eastAsia="zh-CN"/>
        </w:rPr>
        <w:t>基本原则</w:t>
      </w:r>
      <w:bookmarkEnd w:id="29"/>
      <w:bookmarkEnd w:id="30"/>
      <w:bookmarkEnd w:id="31"/>
    </w:p>
    <w:p w14:paraId="42E3EAA3">
      <w:pPr>
        <w:keepNext w:val="0"/>
        <w:keepLines w:val="0"/>
        <w:pageBreakBefore w:val="0"/>
        <w:widowControl w:val="0"/>
        <w:kinsoku/>
        <w:wordWrap/>
        <w:overflowPunct/>
        <w:topLinePunct w:val="0"/>
        <w:autoSpaceDE/>
        <w:autoSpaceDN/>
        <w:bidi w:val="0"/>
        <w:adjustRightInd w:val="0"/>
        <w:snapToGrid w:val="0"/>
        <w:spacing w:afterAutospacing="0" w:line="560" w:lineRule="exact"/>
        <w:ind w:right="0"/>
        <w:jc w:val="both"/>
        <w:textAlignment w:val="auto"/>
        <w:outlineLvl w:val="2"/>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pacing w:val="3"/>
          <w:sz w:val="32"/>
          <w:szCs w:val="32"/>
        </w:rPr>
        <w:t>一、以人为本，安全第一</w:t>
      </w:r>
    </w:p>
    <w:p w14:paraId="5E27FB4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最大程度地预防和减少突发事件造成的人员伤亡和财产损失作为首要任务，切实提升防灾减灾救灾能力。</w:t>
      </w:r>
    </w:p>
    <w:p w14:paraId="0A09875D">
      <w:pPr>
        <w:keepNext w:val="0"/>
        <w:keepLines w:val="0"/>
        <w:pageBreakBefore w:val="0"/>
        <w:widowControl w:val="0"/>
        <w:kinsoku/>
        <w:wordWrap/>
        <w:overflowPunct/>
        <w:topLinePunct w:val="0"/>
        <w:autoSpaceDE/>
        <w:autoSpaceDN/>
        <w:bidi w:val="0"/>
        <w:adjustRightInd w:val="0"/>
        <w:snapToGrid w:val="0"/>
        <w:spacing w:afterAutospacing="0" w:line="560" w:lineRule="exact"/>
        <w:ind w:right="0"/>
        <w:jc w:val="both"/>
        <w:textAlignment w:val="auto"/>
        <w:outlineLvl w:val="2"/>
        <w:rPr>
          <w:rFonts w:hint="eastAsia" w:ascii="仿宋_GB2312" w:hAnsi="仿宋_GB2312" w:eastAsia="仿宋_GB2312" w:cs="仿宋_GB2312"/>
          <w:b/>
          <w:bCs/>
          <w:color w:val="auto"/>
          <w:sz w:val="32"/>
          <w:szCs w:val="32"/>
        </w:rPr>
      </w:pPr>
      <w:bookmarkStart w:id="32" w:name="bookmark23"/>
      <w:bookmarkEnd w:id="32"/>
      <w:r>
        <w:rPr>
          <w:rFonts w:hint="eastAsia" w:ascii="仿宋_GB2312" w:hAnsi="仿宋_GB2312" w:eastAsia="仿宋_GB2312" w:cs="仿宋_GB2312"/>
          <w:b/>
          <w:bCs/>
          <w:color w:val="auto"/>
          <w:spacing w:val="3"/>
          <w:sz w:val="32"/>
          <w:szCs w:val="32"/>
        </w:rPr>
        <w:t>二、统一领导，分级负责</w:t>
      </w:r>
    </w:p>
    <w:p w14:paraId="48C2F0F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在党中央、国务院的统一领导下，各级党委、政府负责做好本区域的应急管理工作。在政府应急管理组织的协调下，各相关单位按照各自的职责和权限，负责应急管理和应急处置工作。企业要认真履行安全生产责任主体的职责，建立与政府应急预案和应急机制相匹配的应急体系机制。</w:t>
      </w:r>
    </w:p>
    <w:p w14:paraId="6B203076">
      <w:pPr>
        <w:keepNext w:val="0"/>
        <w:keepLines w:val="0"/>
        <w:pageBreakBefore w:val="0"/>
        <w:widowControl w:val="0"/>
        <w:kinsoku/>
        <w:wordWrap/>
        <w:overflowPunct/>
        <w:topLinePunct w:val="0"/>
        <w:autoSpaceDE/>
        <w:autoSpaceDN/>
        <w:bidi w:val="0"/>
        <w:adjustRightInd w:val="0"/>
        <w:snapToGrid w:val="0"/>
        <w:spacing w:afterAutospacing="0" w:line="560" w:lineRule="exact"/>
        <w:ind w:right="0"/>
        <w:jc w:val="both"/>
        <w:textAlignment w:val="auto"/>
        <w:outlineLvl w:val="2"/>
        <w:rPr>
          <w:rFonts w:hint="eastAsia" w:ascii="仿宋_GB2312" w:hAnsi="仿宋_GB2312" w:eastAsia="仿宋_GB2312" w:cs="仿宋_GB2312"/>
          <w:b/>
          <w:bCs/>
          <w:color w:val="auto"/>
          <w:spacing w:val="3"/>
          <w:sz w:val="32"/>
          <w:szCs w:val="32"/>
        </w:rPr>
      </w:pPr>
      <w:bookmarkStart w:id="33" w:name="bookmark24"/>
      <w:bookmarkEnd w:id="33"/>
      <w:r>
        <w:rPr>
          <w:rFonts w:hint="eastAsia" w:ascii="仿宋_GB2312" w:hAnsi="仿宋_GB2312" w:eastAsia="仿宋_GB2312" w:cs="仿宋_GB2312"/>
          <w:b/>
          <w:bCs/>
          <w:color w:val="auto"/>
          <w:spacing w:val="3"/>
          <w:sz w:val="32"/>
          <w:szCs w:val="32"/>
        </w:rPr>
        <w:t>三、预防为主，防救结合</w:t>
      </w:r>
    </w:p>
    <w:p w14:paraId="003ABDF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贯彻落实预防为主，预防与应急相结合的原则。做好预防、预测、预警和预报工作，做好常态化的风险评估、物资储备、队伍建设、完善装备、预案演练等工作。</w:t>
      </w:r>
    </w:p>
    <w:p w14:paraId="6249C5F3">
      <w:pPr>
        <w:keepNext w:val="0"/>
        <w:keepLines w:val="0"/>
        <w:pageBreakBefore w:val="0"/>
        <w:widowControl w:val="0"/>
        <w:kinsoku/>
        <w:wordWrap/>
        <w:overflowPunct/>
        <w:topLinePunct w:val="0"/>
        <w:autoSpaceDE/>
        <w:autoSpaceDN/>
        <w:bidi w:val="0"/>
        <w:adjustRightInd w:val="0"/>
        <w:snapToGrid w:val="0"/>
        <w:spacing w:afterAutospacing="0" w:line="560" w:lineRule="exact"/>
        <w:ind w:right="0"/>
        <w:jc w:val="both"/>
        <w:textAlignment w:val="auto"/>
        <w:outlineLvl w:val="2"/>
        <w:rPr>
          <w:rFonts w:hint="eastAsia" w:ascii="仿宋_GB2312" w:hAnsi="仿宋_GB2312" w:eastAsia="仿宋_GB2312" w:cs="仿宋_GB2312"/>
          <w:b/>
          <w:bCs/>
          <w:color w:val="auto"/>
          <w:spacing w:val="3"/>
          <w:sz w:val="32"/>
          <w:szCs w:val="32"/>
        </w:rPr>
      </w:pPr>
      <w:bookmarkStart w:id="34" w:name="bookmark25"/>
      <w:bookmarkEnd w:id="34"/>
      <w:r>
        <w:rPr>
          <w:rFonts w:hint="eastAsia" w:ascii="仿宋_GB2312" w:hAnsi="仿宋_GB2312" w:eastAsia="仿宋_GB2312" w:cs="仿宋_GB2312"/>
          <w:b/>
          <w:bCs/>
          <w:color w:val="auto"/>
          <w:spacing w:val="3"/>
          <w:sz w:val="32"/>
          <w:szCs w:val="32"/>
        </w:rPr>
        <w:t>四、快速反应，协同应对</w:t>
      </w:r>
    </w:p>
    <w:p w14:paraId="33C640A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加强应急队伍建设，加强区域合作和部门合作，建立协调联动机制，形成统一指挥、反应灵敏、功能齐全、协调有序、运转高效的应急管理快速应对机制。充分发挥专业救援力量的骨干作用和社会救援的基础作用。</w:t>
      </w:r>
    </w:p>
    <w:p w14:paraId="54DF33C8">
      <w:pPr>
        <w:keepNext w:val="0"/>
        <w:keepLines w:val="0"/>
        <w:pageBreakBefore w:val="0"/>
        <w:widowControl w:val="0"/>
        <w:kinsoku/>
        <w:wordWrap/>
        <w:overflowPunct/>
        <w:topLinePunct w:val="0"/>
        <w:autoSpaceDE/>
        <w:autoSpaceDN/>
        <w:bidi w:val="0"/>
        <w:adjustRightInd w:val="0"/>
        <w:snapToGrid w:val="0"/>
        <w:spacing w:afterAutospacing="0" w:line="560" w:lineRule="exact"/>
        <w:ind w:right="0"/>
        <w:jc w:val="both"/>
        <w:textAlignment w:val="auto"/>
        <w:outlineLvl w:val="2"/>
        <w:rPr>
          <w:rFonts w:hint="eastAsia" w:ascii="仿宋_GB2312" w:hAnsi="仿宋_GB2312" w:eastAsia="仿宋_GB2312" w:cs="仿宋_GB2312"/>
          <w:b/>
          <w:bCs/>
          <w:color w:val="auto"/>
          <w:spacing w:val="3"/>
          <w:sz w:val="32"/>
          <w:szCs w:val="32"/>
        </w:rPr>
      </w:pPr>
      <w:bookmarkStart w:id="35" w:name="bookmark26"/>
      <w:bookmarkEnd w:id="35"/>
      <w:r>
        <w:rPr>
          <w:rFonts w:hint="eastAsia" w:ascii="仿宋_GB2312" w:hAnsi="仿宋_GB2312" w:eastAsia="仿宋_GB2312" w:cs="仿宋_GB2312"/>
          <w:b/>
          <w:bCs/>
          <w:color w:val="auto"/>
          <w:spacing w:val="3"/>
          <w:sz w:val="32"/>
          <w:szCs w:val="32"/>
        </w:rPr>
        <w:t>五、社会动员，全民参与</w:t>
      </w:r>
    </w:p>
    <w:p w14:paraId="2BE396A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充分发挥政府主导作用，发挥企事业单位、社区和志愿者队伍的引导作用，动员企业及全社会的人力、物力和财力资源，依靠公众力量，形成应对突发事件的合力。同时，增强公众的公共安全和风险防范意识，提高全社会的避险救助能力。</w:t>
      </w:r>
      <w:bookmarkStart w:id="36" w:name="bookmark27"/>
      <w:bookmarkEnd w:id="36"/>
    </w:p>
    <w:p w14:paraId="46A85E46">
      <w:pPr>
        <w:keepNext w:val="0"/>
        <w:keepLines w:val="0"/>
        <w:pageBreakBefore w:val="0"/>
        <w:widowControl w:val="0"/>
        <w:kinsoku/>
        <w:wordWrap/>
        <w:overflowPunct/>
        <w:topLinePunct w:val="0"/>
        <w:autoSpaceDE/>
        <w:autoSpaceDN/>
        <w:bidi w:val="0"/>
        <w:adjustRightInd w:val="0"/>
        <w:snapToGrid w:val="0"/>
        <w:spacing w:afterAutospacing="0" w:line="560" w:lineRule="exact"/>
        <w:ind w:right="0"/>
        <w:jc w:val="both"/>
        <w:textAlignment w:val="auto"/>
        <w:outlineLvl w:val="2"/>
        <w:rPr>
          <w:rFonts w:hint="eastAsia" w:ascii="仿宋_GB2312" w:hAnsi="仿宋_GB2312" w:eastAsia="仿宋_GB2312" w:cs="仿宋_GB2312"/>
          <w:b/>
          <w:bCs/>
          <w:color w:val="auto"/>
          <w:spacing w:val="3"/>
          <w:sz w:val="32"/>
          <w:szCs w:val="32"/>
          <w:lang w:val="en-US" w:eastAsia="zh-CN"/>
        </w:rPr>
      </w:pPr>
      <w:r>
        <w:rPr>
          <w:rFonts w:hint="eastAsia" w:ascii="仿宋_GB2312" w:hAnsi="仿宋_GB2312" w:eastAsia="仿宋_GB2312" w:cs="仿宋_GB2312"/>
          <w:b/>
          <w:bCs/>
          <w:color w:val="auto"/>
          <w:spacing w:val="3"/>
          <w:sz w:val="32"/>
          <w:szCs w:val="32"/>
          <w:lang w:val="en-US" w:eastAsia="zh-CN"/>
        </w:rPr>
        <w:t>六、依靠科学，依法规范</w:t>
      </w:r>
    </w:p>
    <w:p w14:paraId="2F2C6D5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采用先进的救援装备和技术，充分发挥专家作用，实行科学民主决策，增强应急救援能力；依法规范应急管理工作，确保应急预案的科学性、权威性和可操作性。</w:t>
      </w:r>
    </w:p>
    <w:p w14:paraId="737C8D0C">
      <w:pPr>
        <w:keepNext w:val="0"/>
        <w:keepLines w:val="0"/>
        <w:pageBreakBefore w:val="0"/>
        <w:widowControl w:val="0"/>
        <w:kinsoku/>
        <w:wordWrap/>
        <w:overflowPunct/>
        <w:topLinePunct w:val="0"/>
        <w:autoSpaceDE/>
        <w:autoSpaceDN/>
        <w:bidi w:val="0"/>
        <w:adjustRightInd w:val="0"/>
        <w:snapToGrid w:val="0"/>
        <w:spacing w:afterAutospacing="0" w:line="560" w:lineRule="exact"/>
        <w:ind w:right="0"/>
        <w:jc w:val="both"/>
        <w:textAlignment w:val="auto"/>
        <w:outlineLvl w:val="2"/>
        <w:rPr>
          <w:rFonts w:hint="eastAsia" w:ascii="仿宋_GB2312" w:hAnsi="仿宋_GB2312" w:eastAsia="仿宋_GB2312" w:cs="仿宋_GB2312"/>
          <w:b/>
          <w:bCs/>
          <w:color w:val="auto"/>
          <w:spacing w:val="3"/>
          <w:sz w:val="32"/>
          <w:szCs w:val="32"/>
        </w:rPr>
      </w:pPr>
      <w:bookmarkStart w:id="37" w:name="bookmark28"/>
      <w:bookmarkEnd w:id="37"/>
      <w:r>
        <w:rPr>
          <w:rFonts w:hint="eastAsia" w:ascii="仿宋_GB2312" w:hAnsi="仿宋_GB2312" w:eastAsia="仿宋_GB2312" w:cs="仿宋_GB2312"/>
          <w:b/>
          <w:bCs/>
          <w:color w:val="auto"/>
          <w:spacing w:val="3"/>
          <w:sz w:val="32"/>
          <w:szCs w:val="32"/>
        </w:rPr>
        <w:t>七、信息公开，引导舆论</w:t>
      </w:r>
    </w:p>
    <w:p w14:paraId="30D2ED2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在应急管理中，要满足社会公众的知情权，做到信息透明、信息公开，但是，涉及国家机密、商业机密和个人隐私的信息除外。不仅如此，还要积极地对社会公众的舆情进行监控，了解社会公众</w:t>
      </w:r>
      <w:bookmarkStart w:id="38" w:name="bookmark29"/>
      <w:bookmarkEnd w:id="38"/>
      <w:r>
        <w:rPr>
          <w:rFonts w:hint="eastAsia" w:ascii="仿宋_GB2312" w:hAnsi="仿宋_GB2312" w:eastAsia="仿宋_GB2312" w:cs="仿宋_GB2312"/>
          <w:b w:val="0"/>
          <w:bCs w:val="0"/>
          <w:snapToGrid w:val="0"/>
          <w:color w:val="auto"/>
          <w:spacing w:val="13"/>
          <w:kern w:val="0"/>
          <w:sz w:val="32"/>
          <w:szCs w:val="32"/>
          <w:lang w:val="en-US" w:eastAsia="zh-CN"/>
        </w:rPr>
        <w:t>的所思、所想、所愿，对舆情进行正确、有效引导。</w:t>
      </w:r>
    </w:p>
    <w:p w14:paraId="09516DD1">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r>
        <w:rPr>
          <w:rFonts w:hint="eastAsia" w:ascii="方正楷体简体" w:hAnsi="方正楷体简体" w:eastAsia="方正楷体简体" w:cs="方正楷体简体"/>
          <w:b/>
          <w:bCs/>
          <w:snapToGrid w:val="0"/>
          <w:color w:val="auto"/>
          <w:spacing w:val="3"/>
          <w:kern w:val="0"/>
          <w:sz w:val="32"/>
          <w:szCs w:val="32"/>
          <w:lang w:val="en-US" w:eastAsia="zh-CN"/>
        </w:rPr>
        <w:t>第三节</w:t>
      </w:r>
      <w:bookmarkStart w:id="39" w:name="_Toc7834"/>
      <w:r>
        <w:rPr>
          <w:rFonts w:hint="eastAsia" w:ascii="方正楷体简体" w:hAnsi="方正楷体简体" w:eastAsia="方正楷体简体" w:cs="方正楷体简体"/>
          <w:b/>
          <w:bCs/>
          <w:snapToGrid w:val="0"/>
          <w:color w:val="auto"/>
          <w:spacing w:val="3"/>
          <w:kern w:val="0"/>
          <w:sz w:val="32"/>
          <w:szCs w:val="32"/>
          <w:lang w:val="en-US" w:eastAsia="zh-CN"/>
        </w:rPr>
        <w:t xml:space="preserve">  主要目标</w:t>
      </w:r>
      <w:bookmarkEnd w:id="39"/>
    </w:p>
    <w:p w14:paraId="1C362EB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snapToGrid w:val="0"/>
          <w:color w:val="auto"/>
          <w:spacing w:val="13"/>
          <w:kern w:val="0"/>
          <w:sz w:val="32"/>
          <w:szCs w:val="32"/>
          <w:lang w:val="en-US" w:eastAsia="zh-CN"/>
        </w:rPr>
        <w:t>“十五五”时期我县应急管理发展总体目标是在国家应急管理体系和能力现代化工作统一部署下，基本建成“统一指挥、专常兼备、反应灵敏、上下联动”的应急管理体制，显著提升防灾减灾救灾和安全发展保障能力。完善与县域经济社会发展相匹配的现代化应急管理体系，基本实现灾害风险“底数清、情况明、处置快”。突出防范化解重大安全风险，围绕洪涝、泥石流、地震、道路交通、城乡消防及公共卫生事件等主要风险，完善全灾种、全流程风险评估和隐患排查治理机制。健全县、乡、村三级应急指挥与联动机制，做实做好“一案三制”，在重点乡镇（街办、园区）布局综合应急救援队伍和物资储备点，提高就近处置能力。进一步提升基层群众防灾减灾意识和自救互救能力，完善应急宣传和培训体系，推动社会力量广泛参与，形成共建共享的应急治理格局。</w:t>
      </w:r>
    </w:p>
    <w:p w14:paraId="27E89EA9">
      <w:pPr>
        <w:keepNext w:val="0"/>
        <w:keepLines w:val="0"/>
        <w:widowControl/>
        <w:suppressLineNumbers w:val="0"/>
        <w:ind w:left="0" w:leftChars="0" w:firstLine="0" w:firstLineChars="0"/>
        <w:jc w:val="left"/>
        <w:rPr>
          <w:rFonts w:hint="eastAsia" w:ascii="仿宋_GB2312" w:hAnsi="仿宋_GB2312" w:eastAsia="仿宋_GB2312" w:cs="仿宋_GB2312"/>
          <w:b w:val="0"/>
          <w:bCs w:val="0"/>
          <w:color w:val="auto"/>
          <w:spacing w:val="4"/>
          <w:sz w:val="30"/>
          <w:szCs w:val="30"/>
          <w:lang w:val="en-US" w:eastAsia="zh-CN"/>
        </w:rPr>
      </w:pPr>
      <w:r>
        <w:rPr>
          <w:rFonts w:hint="eastAsia" w:ascii="仿宋_GB2312" w:hAnsi="仿宋_GB2312" w:eastAsia="仿宋_GB2312" w:cs="仿宋_GB2312"/>
          <w:b w:val="0"/>
          <w:bCs w:val="0"/>
          <w:color w:val="auto"/>
          <w:kern w:val="0"/>
          <w:sz w:val="32"/>
          <w:szCs w:val="32"/>
          <w:lang w:val="en-US" w:eastAsia="zh-CN" w:bidi="ar"/>
        </w:rPr>
        <w:t>《</w:t>
      </w:r>
      <w:r>
        <w:rPr>
          <w:rFonts w:hint="eastAsia" w:ascii="仿宋_GB2312" w:hAnsi="仿宋_GB2312" w:eastAsia="仿宋_GB2312" w:cs="仿宋_GB2312"/>
          <w:b w:val="0"/>
          <w:bCs w:val="0"/>
          <w:color w:val="auto"/>
          <w:spacing w:val="4"/>
          <w:sz w:val="32"/>
          <w:szCs w:val="32"/>
          <w:lang w:val="en-US" w:eastAsia="zh-CN"/>
        </w:rPr>
        <w:t>墨玉县应急管理体系建设“十五五”实施方案</w:t>
      </w:r>
      <w:r>
        <w:rPr>
          <w:rFonts w:hint="eastAsia" w:ascii="仿宋_GB2312" w:hAnsi="仿宋_GB2312" w:eastAsia="仿宋_GB2312" w:cs="仿宋_GB2312"/>
          <w:b w:val="0"/>
          <w:bCs w:val="0"/>
          <w:color w:val="auto"/>
          <w:kern w:val="0"/>
          <w:sz w:val="32"/>
          <w:szCs w:val="32"/>
          <w:lang w:val="en-US" w:eastAsia="zh-CN" w:bidi="ar"/>
        </w:rPr>
        <w:t>》</w:t>
      </w:r>
      <w:r>
        <w:rPr>
          <w:rFonts w:hint="eastAsia" w:ascii="仿宋_GB2312" w:hAnsi="仿宋_GB2312" w:eastAsia="仿宋_GB2312" w:cs="仿宋_GB2312"/>
          <w:b w:val="0"/>
          <w:bCs w:val="0"/>
          <w:color w:val="auto"/>
          <w:spacing w:val="4"/>
          <w:sz w:val="32"/>
          <w:szCs w:val="32"/>
          <w:lang w:val="en-US" w:eastAsia="zh-CN"/>
        </w:rPr>
        <w:t>目标指标表</w:t>
      </w:r>
    </w:p>
    <w:tbl>
      <w:tblPr>
        <w:tblStyle w:val="49"/>
        <w:tblW w:w="50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3"/>
        <w:gridCol w:w="4475"/>
        <w:gridCol w:w="1324"/>
        <w:gridCol w:w="1082"/>
        <w:gridCol w:w="1310"/>
      </w:tblGrid>
      <w:tr w14:paraId="220EA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461" w:type="pct"/>
            <w:noWrap w:val="0"/>
            <w:vAlign w:val="center"/>
          </w:tcPr>
          <w:p w14:paraId="6AE26595">
            <w:pPr>
              <w:spacing w:before="273" w:line="228" w:lineRule="auto"/>
              <w:ind w:left="0" w:leftChars="0" w:firstLine="258" w:firstLineChars="100"/>
              <w:jc w:val="left"/>
              <w:rPr>
                <w:rFonts w:hint="eastAsia" w:ascii="方正仿宋_GB2312" w:hAnsi="方正仿宋_GB2312" w:eastAsia="方正仿宋_GB2312" w:cs="方正仿宋_GB2312"/>
                <w:b/>
                <w:bCs/>
                <w:color w:val="auto"/>
                <w:spacing w:val="9"/>
                <w:sz w:val="24"/>
                <w:szCs w:val="24"/>
              </w:rPr>
            </w:pPr>
            <w:r>
              <w:rPr>
                <w:rFonts w:hint="eastAsia" w:ascii="方正仿宋_GB2312" w:hAnsi="方正仿宋_GB2312" w:eastAsia="方正仿宋_GB2312" w:cs="方正仿宋_GB2312"/>
                <w:b/>
                <w:bCs/>
                <w:color w:val="auto"/>
                <w:spacing w:val="9"/>
                <w:sz w:val="24"/>
                <w:szCs w:val="24"/>
              </w:rPr>
              <w:t>序号</w:t>
            </w:r>
          </w:p>
        </w:tc>
        <w:tc>
          <w:tcPr>
            <w:tcW w:w="2479" w:type="pct"/>
            <w:noWrap w:val="0"/>
            <w:vAlign w:val="center"/>
          </w:tcPr>
          <w:p w14:paraId="2EFA4D60">
            <w:pPr>
              <w:spacing w:before="273" w:line="228" w:lineRule="auto"/>
              <w:ind w:left="16" w:firstLine="1548" w:firstLineChars="600"/>
              <w:jc w:val="left"/>
              <w:rPr>
                <w:rFonts w:hint="eastAsia" w:ascii="方正仿宋_GB2312" w:hAnsi="方正仿宋_GB2312" w:eastAsia="方正仿宋_GB2312" w:cs="方正仿宋_GB2312"/>
                <w:b/>
                <w:bCs/>
                <w:color w:val="auto"/>
                <w:spacing w:val="9"/>
                <w:sz w:val="24"/>
                <w:szCs w:val="24"/>
              </w:rPr>
            </w:pPr>
            <w:r>
              <w:rPr>
                <w:rFonts w:hint="eastAsia" w:ascii="方正仿宋_GB2312" w:hAnsi="方正仿宋_GB2312" w:eastAsia="方正仿宋_GB2312" w:cs="方正仿宋_GB2312"/>
                <w:b/>
                <w:bCs/>
                <w:color w:val="auto"/>
                <w:spacing w:val="9"/>
                <w:sz w:val="24"/>
                <w:szCs w:val="24"/>
              </w:rPr>
              <w:t>指标名称</w:t>
            </w:r>
          </w:p>
        </w:tc>
        <w:tc>
          <w:tcPr>
            <w:tcW w:w="733" w:type="pct"/>
            <w:noWrap w:val="0"/>
            <w:vAlign w:val="center"/>
          </w:tcPr>
          <w:p w14:paraId="3D0ACBF5">
            <w:pPr>
              <w:spacing w:before="273" w:line="228" w:lineRule="auto"/>
              <w:ind w:left="0" w:leftChars="0" w:firstLine="258" w:firstLineChars="100"/>
              <w:jc w:val="center"/>
              <w:rPr>
                <w:rFonts w:hint="eastAsia" w:ascii="方正仿宋_GB2312" w:hAnsi="方正仿宋_GB2312" w:eastAsia="方正仿宋_GB2312" w:cs="方正仿宋_GB2312"/>
                <w:b/>
                <w:bCs/>
                <w:color w:val="auto"/>
                <w:spacing w:val="9"/>
                <w:sz w:val="24"/>
                <w:szCs w:val="24"/>
              </w:rPr>
            </w:pPr>
            <w:r>
              <w:rPr>
                <w:rFonts w:hint="eastAsia" w:ascii="方正仿宋_GB2312" w:hAnsi="方正仿宋_GB2312" w:eastAsia="方正仿宋_GB2312" w:cs="方正仿宋_GB2312"/>
                <w:b/>
                <w:bCs/>
                <w:color w:val="auto"/>
                <w:spacing w:val="9"/>
                <w:sz w:val="24"/>
                <w:szCs w:val="24"/>
              </w:rPr>
              <w:t>目标值</w:t>
            </w:r>
          </w:p>
        </w:tc>
        <w:tc>
          <w:tcPr>
            <w:tcW w:w="599" w:type="pct"/>
            <w:noWrap w:val="0"/>
            <w:vAlign w:val="center"/>
          </w:tcPr>
          <w:p w14:paraId="29113C5D">
            <w:pPr>
              <w:spacing w:before="273" w:line="228" w:lineRule="auto"/>
              <w:ind w:left="0" w:leftChars="0" w:firstLine="258" w:firstLineChars="100"/>
              <w:jc w:val="center"/>
              <w:rPr>
                <w:rFonts w:hint="eastAsia" w:ascii="方正仿宋_GB2312" w:hAnsi="方正仿宋_GB2312" w:eastAsia="方正仿宋_GB2312" w:cs="方正仿宋_GB2312"/>
                <w:b/>
                <w:bCs/>
                <w:color w:val="auto"/>
                <w:spacing w:val="9"/>
                <w:sz w:val="24"/>
                <w:szCs w:val="24"/>
              </w:rPr>
            </w:pPr>
            <w:r>
              <w:rPr>
                <w:rFonts w:hint="eastAsia" w:ascii="方正仿宋_GB2312" w:hAnsi="方正仿宋_GB2312" w:eastAsia="方正仿宋_GB2312" w:cs="方正仿宋_GB2312"/>
                <w:b/>
                <w:bCs/>
                <w:color w:val="auto"/>
                <w:spacing w:val="9"/>
                <w:sz w:val="24"/>
                <w:szCs w:val="24"/>
              </w:rPr>
              <w:t>属性</w:t>
            </w:r>
          </w:p>
        </w:tc>
        <w:tc>
          <w:tcPr>
            <w:tcW w:w="725" w:type="pct"/>
            <w:noWrap w:val="0"/>
            <w:vAlign w:val="center"/>
          </w:tcPr>
          <w:p w14:paraId="1BC19EA0">
            <w:pPr>
              <w:spacing w:before="273" w:line="228" w:lineRule="auto"/>
              <w:ind w:left="0" w:leftChars="0" w:firstLine="258" w:firstLineChars="100"/>
              <w:jc w:val="center"/>
              <w:rPr>
                <w:rFonts w:hint="eastAsia" w:ascii="方正仿宋_GB2312" w:hAnsi="方正仿宋_GB2312" w:eastAsia="方正仿宋_GB2312" w:cs="方正仿宋_GB2312"/>
                <w:b/>
                <w:bCs/>
                <w:color w:val="auto"/>
                <w:spacing w:val="9"/>
                <w:sz w:val="24"/>
                <w:szCs w:val="24"/>
                <w:lang w:val="en-US" w:eastAsia="zh-CN"/>
              </w:rPr>
            </w:pPr>
            <w:r>
              <w:rPr>
                <w:rFonts w:hint="eastAsia" w:ascii="方正仿宋_GB2312" w:hAnsi="方正仿宋_GB2312" w:eastAsia="方正仿宋_GB2312" w:cs="方正仿宋_GB2312"/>
                <w:b/>
                <w:bCs/>
                <w:color w:val="auto"/>
                <w:spacing w:val="9"/>
                <w:sz w:val="24"/>
                <w:szCs w:val="24"/>
                <w:lang w:val="en-US" w:eastAsia="zh-CN"/>
              </w:rPr>
              <w:t>具体数值</w:t>
            </w:r>
          </w:p>
        </w:tc>
      </w:tr>
      <w:tr w14:paraId="0572C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4274" w:type="pct"/>
            <w:gridSpan w:val="4"/>
            <w:noWrap w:val="0"/>
            <w:vAlign w:val="top"/>
          </w:tcPr>
          <w:p w14:paraId="718E0F2D">
            <w:pPr>
              <w:spacing w:before="270" w:line="228" w:lineRule="auto"/>
              <w:ind w:left="2713"/>
              <w:jc w:val="both"/>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pacing w:val="12"/>
                <w:sz w:val="24"/>
                <w:szCs w:val="24"/>
                <w:lang w:val="en-US" w:eastAsia="zh-CN"/>
              </w:rPr>
              <w:t>安全生产</w:t>
            </w:r>
            <w:r>
              <w:rPr>
                <w:rFonts w:hint="eastAsia" w:ascii="方正仿宋_GB2312" w:hAnsi="方正仿宋_GB2312" w:eastAsia="方正仿宋_GB2312" w:cs="方正仿宋_GB2312"/>
                <w:color w:val="auto"/>
                <w:spacing w:val="12"/>
                <w:sz w:val="24"/>
                <w:szCs w:val="24"/>
                <w:lang w:eastAsia="zh-CN"/>
              </w:rPr>
              <w:t>（</w:t>
            </w:r>
            <w:r>
              <w:rPr>
                <w:rFonts w:hint="eastAsia" w:ascii="Times New Roman" w:hAnsi="Times New Roman" w:eastAsia="方正仿宋_GB2312" w:cs="Times New Roman"/>
                <w:color w:val="auto"/>
                <w:spacing w:val="12"/>
                <w:sz w:val="24"/>
                <w:szCs w:val="24"/>
                <w:lang w:val="en-US" w:eastAsia="zh-CN"/>
              </w:rPr>
              <w:t>3</w:t>
            </w:r>
            <w:r>
              <w:rPr>
                <w:rFonts w:hint="eastAsia" w:ascii="方正仿宋_GB2312" w:hAnsi="方正仿宋_GB2312" w:eastAsia="方正仿宋_GB2312" w:cs="方正仿宋_GB2312"/>
                <w:color w:val="auto"/>
                <w:spacing w:val="12"/>
                <w:sz w:val="24"/>
                <w:szCs w:val="24"/>
              </w:rPr>
              <w:t>项</w:t>
            </w:r>
            <w:r>
              <w:rPr>
                <w:rFonts w:hint="eastAsia" w:ascii="方正仿宋_GB2312" w:hAnsi="方正仿宋_GB2312" w:eastAsia="方正仿宋_GB2312" w:cs="方正仿宋_GB2312"/>
                <w:color w:val="auto"/>
                <w:spacing w:val="12"/>
                <w:sz w:val="24"/>
                <w:szCs w:val="24"/>
                <w:lang w:eastAsia="zh-CN"/>
              </w:rPr>
              <w:t>）</w:t>
            </w:r>
          </w:p>
        </w:tc>
        <w:tc>
          <w:tcPr>
            <w:tcW w:w="725" w:type="pct"/>
            <w:noWrap w:val="0"/>
            <w:vAlign w:val="top"/>
          </w:tcPr>
          <w:p w14:paraId="4FB39F18">
            <w:pPr>
              <w:spacing w:before="270" w:line="228" w:lineRule="auto"/>
              <w:ind w:left="2713"/>
              <w:jc w:val="center"/>
              <w:rPr>
                <w:rFonts w:hint="eastAsia" w:ascii="方正仿宋_GB2312" w:hAnsi="方正仿宋_GB2312" w:eastAsia="方正仿宋_GB2312" w:cs="方正仿宋_GB2312"/>
                <w:color w:val="auto"/>
                <w:spacing w:val="12"/>
                <w:sz w:val="24"/>
                <w:szCs w:val="24"/>
              </w:rPr>
            </w:pPr>
          </w:p>
        </w:tc>
      </w:tr>
      <w:tr w14:paraId="54558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461" w:type="pct"/>
            <w:noWrap w:val="0"/>
            <w:vAlign w:val="top"/>
          </w:tcPr>
          <w:p w14:paraId="1C791900">
            <w:pPr>
              <w:spacing w:before="270" w:line="270" w:lineRule="exact"/>
              <w:jc w:val="left"/>
              <w:rPr>
                <w:rFonts w:hint="default" w:ascii="Times New Roman" w:hAnsi="Times New Roman" w:eastAsia="方正仿宋_GB2312" w:cs="Times New Roman"/>
                <w:color w:val="auto"/>
                <w:sz w:val="24"/>
                <w:szCs w:val="24"/>
              </w:rPr>
            </w:pPr>
            <w:r>
              <w:rPr>
                <w:rFonts w:hint="default" w:ascii="Times New Roman" w:hAnsi="Times New Roman" w:eastAsia="方正仿宋_GB2312" w:cs="Times New Roman"/>
                <w:color w:val="auto"/>
                <w:position w:val="1"/>
                <w:sz w:val="24"/>
                <w:szCs w:val="24"/>
              </w:rPr>
              <w:t>1</w:t>
            </w:r>
          </w:p>
        </w:tc>
        <w:tc>
          <w:tcPr>
            <w:tcW w:w="2479" w:type="pct"/>
            <w:shd w:val="clear" w:color="auto" w:fill="auto"/>
            <w:noWrap w:val="0"/>
            <w:vAlign w:val="center"/>
          </w:tcPr>
          <w:p w14:paraId="59956ABD">
            <w:pPr>
              <w:snapToGrid w:val="0"/>
              <w:spacing w:before="84" w:line="240" w:lineRule="auto"/>
              <w:ind w:left="0" w:leftChars="0" w:right="0" w:rightChars="0" w:firstLine="0" w:firstLineChars="0"/>
              <w:jc w:val="left"/>
              <w:rPr>
                <w:rFonts w:hint="eastAsia" w:ascii="仿宋" w:hAnsi="仿宋" w:eastAsia="仿宋" w:cs="仿宋"/>
                <w:color w:val="auto"/>
                <w:spacing w:val="-4"/>
                <w:kern w:val="2"/>
                <w:sz w:val="24"/>
                <w:szCs w:val="24"/>
                <w:lang w:val="en-US" w:eastAsia="zh-CN" w:bidi="ar-SA"/>
              </w:rPr>
            </w:pPr>
            <w:r>
              <w:rPr>
                <w:rFonts w:hint="eastAsia" w:ascii="仿宋" w:hAnsi="仿宋" w:eastAsia="仿宋" w:cs="仿宋"/>
                <w:color w:val="auto"/>
                <w:spacing w:val="-3"/>
                <w:sz w:val="24"/>
                <w:szCs w:val="24"/>
                <w:lang w:val="en-US" w:eastAsia="zh-CN"/>
              </w:rPr>
              <w:t>生产安全事故死亡人数</w:t>
            </w:r>
          </w:p>
        </w:tc>
        <w:tc>
          <w:tcPr>
            <w:tcW w:w="733" w:type="pct"/>
            <w:shd w:val="clear" w:color="auto" w:fill="auto"/>
            <w:noWrap w:val="0"/>
            <w:vAlign w:val="top"/>
          </w:tcPr>
          <w:p w14:paraId="1D7287A9">
            <w:pPr>
              <w:spacing w:before="273" w:line="228" w:lineRule="auto"/>
              <w:ind w:left="0" w:leftChars="0" w:firstLine="0" w:firstLineChars="0"/>
              <w:jc w:val="center"/>
              <w:rPr>
                <w:rFonts w:hint="eastAsia" w:ascii="方正仿宋_GB2312" w:hAnsi="方正仿宋_GB2312" w:eastAsia="方正仿宋_GB2312" w:cs="方正仿宋_GB2312"/>
                <w:color w:val="auto"/>
                <w:spacing w:val="9"/>
                <w:kern w:val="2"/>
                <w:sz w:val="24"/>
                <w:szCs w:val="24"/>
                <w:lang w:val="en-US" w:eastAsia="zh-CN" w:bidi="ar-SA"/>
              </w:rPr>
            </w:pPr>
            <w:r>
              <w:rPr>
                <w:rFonts w:hint="eastAsia" w:ascii="方正仿宋_GB2312" w:hAnsi="方正仿宋_GB2312" w:eastAsia="方正仿宋_GB2312" w:cs="方正仿宋_GB2312"/>
                <w:color w:val="auto"/>
                <w:spacing w:val="9"/>
                <w:sz w:val="24"/>
                <w:szCs w:val="24"/>
                <w:lang w:val="en-US" w:eastAsia="zh-CN"/>
              </w:rPr>
              <w:t>下降</w:t>
            </w:r>
            <w:r>
              <w:rPr>
                <w:rFonts w:hint="eastAsia" w:ascii="Times New Roman" w:hAnsi="Times New Roman" w:eastAsia="方正仿宋_GB2312" w:cs="Times New Roman"/>
                <w:b w:val="0"/>
                <w:bCs w:val="0"/>
                <w:snapToGrid w:val="0"/>
                <w:color w:val="auto"/>
                <w:spacing w:val="13"/>
                <w:kern w:val="0"/>
                <w:sz w:val="24"/>
                <w:szCs w:val="24"/>
                <w:lang w:val="en-US" w:eastAsia="zh-CN"/>
              </w:rPr>
              <w:t>7%</w:t>
            </w:r>
          </w:p>
        </w:tc>
        <w:tc>
          <w:tcPr>
            <w:tcW w:w="599" w:type="pct"/>
            <w:shd w:val="clear" w:color="auto" w:fill="auto"/>
            <w:noWrap w:val="0"/>
            <w:vAlign w:val="top"/>
          </w:tcPr>
          <w:p w14:paraId="41826AC9">
            <w:pPr>
              <w:spacing w:before="273" w:line="228" w:lineRule="auto"/>
              <w:ind w:left="0" w:leftChars="0" w:firstLine="0" w:firstLineChars="0"/>
              <w:jc w:val="center"/>
              <w:rPr>
                <w:rFonts w:hint="eastAsia" w:ascii="方正仿宋_GB2312" w:hAnsi="方正仿宋_GB2312" w:eastAsia="方正仿宋_GB2312" w:cs="方正仿宋_GB2312"/>
                <w:color w:val="auto"/>
                <w:spacing w:val="9"/>
                <w:kern w:val="2"/>
                <w:sz w:val="24"/>
                <w:szCs w:val="24"/>
                <w:lang w:val="en-US" w:eastAsia="zh-CN" w:bidi="ar-SA"/>
              </w:rPr>
            </w:pPr>
            <w:r>
              <w:rPr>
                <w:rFonts w:hint="eastAsia" w:ascii="方正仿宋_GB2312" w:hAnsi="方正仿宋_GB2312" w:eastAsia="方正仿宋_GB2312" w:cs="方正仿宋_GB2312"/>
                <w:color w:val="auto"/>
                <w:spacing w:val="9"/>
                <w:sz w:val="24"/>
                <w:szCs w:val="24"/>
              </w:rPr>
              <w:t>预期值</w:t>
            </w:r>
          </w:p>
        </w:tc>
        <w:tc>
          <w:tcPr>
            <w:tcW w:w="725" w:type="pct"/>
            <w:shd w:val="clear" w:color="auto" w:fill="auto"/>
            <w:noWrap w:val="0"/>
            <w:vAlign w:val="top"/>
          </w:tcPr>
          <w:p w14:paraId="4EC8CB7C">
            <w:pPr>
              <w:spacing w:before="273" w:line="228" w:lineRule="auto"/>
              <w:ind w:left="0" w:leftChars="0" w:firstLine="228" w:firstLineChars="100"/>
              <w:jc w:val="center"/>
              <w:rPr>
                <w:rFonts w:hint="eastAsia" w:ascii="方正仿宋_GB2312" w:hAnsi="方正仿宋_GB2312" w:eastAsia="方正仿宋_GB2312" w:cs="方正仿宋_GB2312"/>
                <w:color w:val="auto"/>
                <w:spacing w:val="9"/>
                <w:kern w:val="2"/>
                <w:sz w:val="24"/>
                <w:szCs w:val="24"/>
                <w:lang w:val="en-US" w:eastAsia="zh-CN" w:bidi="ar-SA"/>
              </w:rPr>
            </w:pPr>
            <w:r>
              <w:rPr>
                <w:rFonts w:hint="default" w:ascii="方正仿宋_GB2312" w:hAnsi="方正仿宋_GB2312" w:eastAsia="方正仿宋_GB2312" w:cs="方正仿宋_GB2312"/>
                <w:color w:val="auto"/>
                <w:position w:val="1"/>
                <w:sz w:val="24"/>
                <w:szCs w:val="24"/>
                <w:lang w:val="en-US" w:eastAsia="zh-CN"/>
              </w:rPr>
              <w:t>≤</w:t>
            </w:r>
            <w:r>
              <w:rPr>
                <w:rFonts w:hint="eastAsia" w:ascii="Times New Roman" w:hAnsi="Times New Roman" w:eastAsia="方正仿宋_GB2312" w:cs="Times New Roman"/>
                <w:b w:val="0"/>
                <w:bCs w:val="0"/>
                <w:snapToGrid w:val="0"/>
                <w:color w:val="auto"/>
                <w:spacing w:val="13"/>
                <w:kern w:val="0"/>
                <w:sz w:val="24"/>
                <w:szCs w:val="24"/>
                <w:lang w:val="en-US" w:eastAsia="zh-CN"/>
              </w:rPr>
              <w:t>38</w:t>
            </w:r>
            <w:r>
              <w:rPr>
                <w:rFonts w:hint="eastAsia" w:ascii="方正仿宋_GB2312" w:hAnsi="方正仿宋_GB2312" w:eastAsia="方正仿宋_GB2312" w:cs="方正仿宋_GB2312"/>
                <w:color w:val="auto"/>
                <w:spacing w:val="9"/>
                <w:sz w:val="24"/>
                <w:szCs w:val="24"/>
                <w:lang w:val="en-US" w:eastAsia="zh-CN"/>
              </w:rPr>
              <w:t>人</w:t>
            </w:r>
          </w:p>
        </w:tc>
      </w:tr>
      <w:tr w14:paraId="4468B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jc w:val="center"/>
        </w:trPr>
        <w:tc>
          <w:tcPr>
            <w:tcW w:w="461" w:type="pct"/>
            <w:noWrap w:val="0"/>
            <w:vAlign w:val="top"/>
          </w:tcPr>
          <w:p w14:paraId="0B230976">
            <w:pPr>
              <w:spacing w:before="270" w:line="270" w:lineRule="exact"/>
              <w:jc w:val="left"/>
              <w:rPr>
                <w:rFonts w:hint="default" w:ascii="Times New Roman" w:hAnsi="Times New Roman" w:eastAsia="方正仿宋_GB2312" w:cs="Times New Roman"/>
                <w:color w:val="auto"/>
                <w:position w:val="1"/>
                <w:sz w:val="24"/>
                <w:szCs w:val="24"/>
              </w:rPr>
            </w:pPr>
            <w:r>
              <w:rPr>
                <w:rFonts w:hint="default" w:ascii="Times New Roman" w:hAnsi="Times New Roman" w:eastAsia="方正仿宋_GB2312" w:cs="Times New Roman"/>
                <w:color w:val="auto"/>
                <w:position w:val="1"/>
                <w:sz w:val="24"/>
                <w:szCs w:val="24"/>
              </w:rPr>
              <w:t>2</w:t>
            </w:r>
          </w:p>
        </w:tc>
        <w:tc>
          <w:tcPr>
            <w:tcW w:w="2479" w:type="pct"/>
            <w:shd w:val="clear" w:color="auto" w:fill="auto"/>
            <w:noWrap w:val="0"/>
            <w:vAlign w:val="center"/>
          </w:tcPr>
          <w:p w14:paraId="762D146B">
            <w:pPr>
              <w:snapToGrid w:val="0"/>
              <w:spacing w:before="74" w:line="240" w:lineRule="auto"/>
              <w:ind w:left="0" w:leftChars="0" w:right="0" w:rightChars="0" w:firstLine="0" w:firstLineChars="0"/>
              <w:jc w:val="left"/>
              <w:rPr>
                <w:rFonts w:hint="eastAsia" w:ascii="仿宋" w:hAnsi="仿宋" w:eastAsia="仿宋" w:cs="仿宋"/>
                <w:color w:val="auto"/>
                <w:spacing w:val="-3"/>
                <w:kern w:val="2"/>
                <w:sz w:val="24"/>
                <w:szCs w:val="24"/>
                <w:lang w:val="en-US" w:eastAsia="zh-CN" w:bidi="ar-SA"/>
              </w:rPr>
            </w:pPr>
            <w:r>
              <w:rPr>
                <w:rFonts w:hint="eastAsia" w:cs="仿宋"/>
                <w:color w:val="auto"/>
                <w:spacing w:val="-3"/>
                <w:sz w:val="24"/>
                <w:szCs w:val="24"/>
                <w:lang w:val="en-US" w:eastAsia="zh-CN"/>
              </w:rPr>
              <w:t>一般生产安全事故起数</w:t>
            </w:r>
          </w:p>
        </w:tc>
        <w:tc>
          <w:tcPr>
            <w:tcW w:w="733" w:type="pct"/>
            <w:shd w:val="clear" w:color="auto" w:fill="auto"/>
            <w:noWrap w:val="0"/>
            <w:vAlign w:val="top"/>
          </w:tcPr>
          <w:p w14:paraId="1F39E950">
            <w:pPr>
              <w:spacing w:before="273" w:line="228" w:lineRule="auto"/>
              <w:ind w:left="0" w:leftChars="0" w:firstLine="0" w:firstLineChars="0"/>
              <w:jc w:val="center"/>
              <w:rPr>
                <w:rFonts w:hint="default" w:ascii="方正仿宋_GB2312" w:hAnsi="方正仿宋_GB2312" w:eastAsia="方正仿宋_GB2312" w:cs="方正仿宋_GB2312"/>
                <w:color w:val="auto"/>
                <w:spacing w:val="-6"/>
                <w:kern w:val="2"/>
                <w:position w:val="1"/>
                <w:sz w:val="24"/>
                <w:szCs w:val="24"/>
                <w:lang w:val="en-US" w:eastAsia="zh-CN" w:bidi="ar-SA"/>
              </w:rPr>
            </w:pPr>
            <w:r>
              <w:rPr>
                <w:rFonts w:hint="eastAsia" w:ascii="方正仿宋_GB2312" w:hAnsi="方正仿宋_GB2312" w:eastAsia="方正仿宋_GB2312" w:cs="方正仿宋_GB2312"/>
                <w:color w:val="auto"/>
                <w:spacing w:val="9"/>
                <w:sz w:val="24"/>
                <w:szCs w:val="24"/>
                <w:lang w:val="en-US" w:eastAsia="zh-CN"/>
              </w:rPr>
              <w:t>下降</w:t>
            </w:r>
            <w:r>
              <w:rPr>
                <w:rFonts w:hint="default" w:ascii="Times New Roman" w:hAnsi="Times New Roman" w:eastAsia="方正仿宋_GB2312" w:cs="Times New Roman"/>
                <w:color w:val="auto"/>
                <w:spacing w:val="9"/>
                <w:sz w:val="24"/>
                <w:szCs w:val="24"/>
                <w:lang w:val="en-US" w:eastAsia="zh-CN"/>
              </w:rPr>
              <w:t>7%</w:t>
            </w:r>
          </w:p>
        </w:tc>
        <w:tc>
          <w:tcPr>
            <w:tcW w:w="599" w:type="pct"/>
            <w:shd w:val="clear" w:color="auto" w:fill="auto"/>
            <w:noWrap w:val="0"/>
            <w:vAlign w:val="top"/>
          </w:tcPr>
          <w:p w14:paraId="22652356">
            <w:pPr>
              <w:spacing w:before="274" w:line="268" w:lineRule="exact"/>
              <w:ind w:left="0" w:leftChars="0" w:firstLine="0" w:firstLineChars="0"/>
              <w:jc w:val="center"/>
              <w:rPr>
                <w:rFonts w:hint="eastAsia" w:ascii="方正仿宋_GB2312" w:hAnsi="方正仿宋_GB2312" w:eastAsia="方正仿宋_GB2312" w:cs="方正仿宋_GB2312"/>
                <w:color w:val="auto"/>
                <w:spacing w:val="-6"/>
                <w:kern w:val="2"/>
                <w:position w:val="1"/>
                <w:sz w:val="24"/>
                <w:szCs w:val="24"/>
                <w:lang w:val="en-US" w:eastAsia="zh-CN" w:bidi="ar-SA"/>
              </w:rPr>
            </w:pPr>
            <w:r>
              <w:rPr>
                <w:rFonts w:hint="eastAsia" w:ascii="方正仿宋_GB2312" w:hAnsi="方正仿宋_GB2312" w:eastAsia="方正仿宋_GB2312" w:cs="方正仿宋_GB2312"/>
                <w:color w:val="auto"/>
                <w:position w:val="1"/>
                <w:sz w:val="24"/>
                <w:szCs w:val="24"/>
                <w:lang w:val="en-US" w:eastAsia="zh-CN"/>
              </w:rPr>
              <w:t>预期值</w:t>
            </w:r>
          </w:p>
        </w:tc>
        <w:tc>
          <w:tcPr>
            <w:tcW w:w="725" w:type="pct"/>
            <w:shd w:val="clear" w:color="auto" w:fill="auto"/>
            <w:noWrap w:val="0"/>
            <w:vAlign w:val="top"/>
          </w:tcPr>
          <w:p w14:paraId="1E2D2DC2">
            <w:pPr>
              <w:spacing w:before="274" w:line="268" w:lineRule="exact"/>
              <w:ind w:firstLine="456" w:firstLineChars="200"/>
              <w:jc w:val="both"/>
              <w:rPr>
                <w:rFonts w:hint="default" w:ascii="方正仿宋_GB2312" w:hAnsi="方正仿宋_GB2312" w:eastAsia="方正仿宋_GB2312" w:cs="方正仿宋_GB2312"/>
                <w:color w:val="auto"/>
                <w:spacing w:val="-6"/>
                <w:kern w:val="2"/>
                <w:position w:val="1"/>
                <w:sz w:val="24"/>
                <w:szCs w:val="24"/>
                <w:lang w:val="en-US" w:eastAsia="zh-CN" w:bidi="ar-SA"/>
              </w:rPr>
            </w:pPr>
            <w:r>
              <w:rPr>
                <w:rFonts w:hint="default" w:ascii="方正仿宋_GB2312" w:hAnsi="方正仿宋_GB2312" w:eastAsia="方正仿宋_GB2312" w:cs="方正仿宋_GB2312"/>
                <w:color w:val="auto"/>
                <w:position w:val="1"/>
                <w:sz w:val="24"/>
                <w:szCs w:val="24"/>
                <w:lang w:val="en-US" w:eastAsia="zh-CN"/>
              </w:rPr>
              <w:t>≤</w:t>
            </w:r>
            <w:r>
              <w:rPr>
                <w:rFonts w:hint="eastAsia" w:ascii="Times New Roman" w:hAnsi="Times New Roman" w:eastAsia="方正仿宋_GB2312" w:cs="Times New Roman"/>
                <w:color w:val="auto"/>
                <w:spacing w:val="-6"/>
                <w:kern w:val="2"/>
                <w:position w:val="1"/>
                <w:sz w:val="24"/>
                <w:szCs w:val="24"/>
                <w:lang w:val="en-US" w:eastAsia="zh-CN" w:bidi="ar-SA"/>
              </w:rPr>
              <w:t>62起</w:t>
            </w:r>
          </w:p>
        </w:tc>
      </w:tr>
      <w:tr w14:paraId="152C8E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jc w:val="center"/>
        </w:trPr>
        <w:tc>
          <w:tcPr>
            <w:tcW w:w="461" w:type="pct"/>
            <w:noWrap w:val="0"/>
            <w:vAlign w:val="top"/>
          </w:tcPr>
          <w:p w14:paraId="2137C3C3">
            <w:pPr>
              <w:spacing w:before="270" w:line="270" w:lineRule="exact"/>
              <w:jc w:val="left"/>
              <w:rPr>
                <w:rFonts w:hint="eastAsia" w:ascii="Times New Roman" w:hAnsi="Times New Roman" w:eastAsia="方正仿宋_GB2312" w:cs="Times New Roman"/>
                <w:color w:val="FF0000"/>
                <w:position w:val="1"/>
                <w:sz w:val="24"/>
                <w:szCs w:val="24"/>
                <w:lang w:val="en-US" w:eastAsia="zh-CN"/>
              </w:rPr>
            </w:pPr>
            <w:r>
              <w:rPr>
                <w:rFonts w:hint="eastAsia" w:ascii="Times New Roman" w:hAnsi="Times New Roman" w:eastAsia="方正仿宋_GB2312" w:cs="Times New Roman"/>
                <w:color w:val="auto"/>
                <w:position w:val="1"/>
                <w:sz w:val="24"/>
                <w:szCs w:val="24"/>
                <w:lang w:val="en-US" w:eastAsia="zh-CN"/>
              </w:rPr>
              <w:t>3</w:t>
            </w:r>
          </w:p>
        </w:tc>
        <w:tc>
          <w:tcPr>
            <w:tcW w:w="2479" w:type="pct"/>
            <w:shd w:val="clear" w:color="auto" w:fill="auto"/>
            <w:noWrap w:val="0"/>
            <w:vAlign w:val="center"/>
          </w:tcPr>
          <w:p w14:paraId="2ED8D7D3">
            <w:pPr>
              <w:snapToGrid w:val="0"/>
              <w:spacing w:before="74" w:line="240" w:lineRule="auto"/>
              <w:ind w:left="0" w:leftChars="0" w:right="0" w:rightChars="0" w:firstLine="0" w:firstLineChars="0"/>
              <w:jc w:val="left"/>
              <w:rPr>
                <w:rFonts w:hint="default" w:ascii="仿宋" w:hAnsi="仿宋" w:eastAsia="仿宋" w:cs="仿宋"/>
                <w:color w:val="auto"/>
                <w:spacing w:val="-4"/>
                <w:kern w:val="2"/>
                <w:sz w:val="24"/>
                <w:szCs w:val="24"/>
                <w:lang w:val="en-US" w:eastAsia="zh-CN" w:bidi="ar-SA"/>
              </w:rPr>
            </w:pPr>
            <w:r>
              <w:rPr>
                <w:rFonts w:hint="eastAsia" w:cs="仿宋"/>
                <w:color w:val="auto"/>
                <w:spacing w:val="-3"/>
                <w:sz w:val="24"/>
                <w:szCs w:val="24"/>
                <w:lang w:val="en-US" w:eastAsia="zh-CN"/>
              </w:rPr>
              <w:t>较大</w:t>
            </w:r>
            <w:r>
              <w:rPr>
                <w:rFonts w:ascii="仿宋" w:hAnsi="仿宋" w:eastAsia="仿宋" w:cs="仿宋"/>
                <w:color w:val="auto"/>
                <w:spacing w:val="-3"/>
                <w:sz w:val="24"/>
                <w:szCs w:val="24"/>
              </w:rPr>
              <w:t>生产</w:t>
            </w:r>
            <w:r>
              <w:rPr>
                <w:rFonts w:ascii="仿宋" w:hAnsi="仿宋" w:eastAsia="仿宋" w:cs="仿宋"/>
                <w:color w:val="auto"/>
                <w:spacing w:val="-5"/>
                <w:sz w:val="24"/>
                <w:szCs w:val="24"/>
              </w:rPr>
              <w:t>安全事故</w:t>
            </w:r>
            <w:r>
              <w:rPr>
                <w:rFonts w:hint="eastAsia" w:cs="仿宋"/>
                <w:color w:val="auto"/>
                <w:spacing w:val="-5"/>
                <w:sz w:val="24"/>
                <w:szCs w:val="24"/>
                <w:lang w:val="en-US" w:eastAsia="zh-CN"/>
              </w:rPr>
              <w:t>起数</w:t>
            </w:r>
          </w:p>
        </w:tc>
        <w:tc>
          <w:tcPr>
            <w:tcW w:w="733" w:type="pct"/>
            <w:shd w:val="clear" w:color="auto" w:fill="auto"/>
            <w:noWrap w:val="0"/>
            <w:vAlign w:val="top"/>
          </w:tcPr>
          <w:p w14:paraId="16501948">
            <w:pPr>
              <w:spacing w:before="274" w:line="268" w:lineRule="exact"/>
              <w:ind w:firstLine="456" w:firstLineChars="200"/>
              <w:jc w:val="both"/>
              <w:rPr>
                <w:rFonts w:hint="default" w:ascii="方正仿宋_GB2312" w:hAnsi="方正仿宋_GB2312" w:eastAsia="方正仿宋_GB2312" w:cs="方正仿宋_GB2312"/>
                <w:color w:val="auto"/>
                <w:spacing w:val="-6"/>
                <w:kern w:val="2"/>
                <w:position w:val="1"/>
                <w:sz w:val="24"/>
                <w:szCs w:val="24"/>
                <w:lang w:val="en-US" w:eastAsia="zh-CN" w:bidi="ar-SA"/>
              </w:rPr>
            </w:pPr>
            <w:r>
              <w:rPr>
                <w:rFonts w:hint="default" w:ascii="方正仿宋_GB2312" w:hAnsi="方正仿宋_GB2312" w:eastAsia="方正仿宋_GB2312" w:cs="方正仿宋_GB2312"/>
                <w:color w:val="auto"/>
                <w:position w:val="1"/>
                <w:sz w:val="24"/>
                <w:szCs w:val="24"/>
                <w:lang w:val="en-US" w:eastAsia="zh-CN"/>
              </w:rPr>
              <w:t>≤</w:t>
            </w:r>
            <w:r>
              <w:rPr>
                <w:rFonts w:hint="default" w:ascii="Times New Roman" w:hAnsi="Times New Roman" w:eastAsia="方正仿宋_GB2312" w:cs="Times New Roman"/>
                <w:color w:val="auto"/>
                <w:spacing w:val="-6"/>
                <w:kern w:val="2"/>
                <w:position w:val="1"/>
                <w:sz w:val="24"/>
                <w:szCs w:val="24"/>
                <w:lang w:val="en-US" w:eastAsia="zh-CN" w:bidi="ar-SA"/>
              </w:rPr>
              <w:t>1</w:t>
            </w:r>
            <w:r>
              <w:rPr>
                <w:rFonts w:hint="eastAsia" w:ascii="Times New Roman" w:hAnsi="Times New Roman" w:eastAsia="方正仿宋_GB2312" w:cs="Times New Roman"/>
                <w:color w:val="auto"/>
                <w:spacing w:val="-6"/>
                <w:kern w:val="2"/>
                <w:position w:val="1"/>
                <w:sz w:val="24"/>
                <w:szCs w:val="24"/>
                <w:lang w:val="en-US" w:eastAsia="zh-CN" w:bidi="ar-SA"/>
              </w:rPr>
              <w:t>起</w:t>
            </w:r>
          </w:p>
        </w:tc>
        <w:tc>
          <w:tcPr>
            <w:tcW w:w="599" w:type="pct"/>
            <w:shd w:val="clear" w:color="auto" w:fill="auto"/>
            <w:noWrap w:val="0"/>
            <w:vAlign w:val="top"/>
          </w:tcPr>
          <w:p w14:paraId="4A0118E8">
            <w:pPr>
              <w:spacing w:before="274" w:line="268" w:lineRule="exact"/>
              <w:ind w:left="0" w:leftChars="0" w:firstLine="0" w:firstLineChars="0"/>
              <w:jc w:val="center"/>
              <w:rPr>
                <w:rFonts w:hint="default" w:ascii="方正仿宋_GB2312" w:hAnsi="方正仿宋_GB2312" w:eastAsia="方正仿宋_GB2312" w:cs="方正仿宋_GB2312"/>
                <w:color w:val="auto"/>
                <w:spacing w:val="-6"/>
                <w:kern w:val="2"/>
                <w:position w:val="1"/>
                <w:sz w:val="24"/>
                <w:szCs w:val="24"/>
                <w:lang w:val="en-US" w:eastAsia="zh-CN" w:bidi="ar-SA"/>
              </w:rPr>
            </w:pPr>
            <w:r>
              <w:rPr>
                <w:rFonts w:hint="eastAsia" w:ascii="方正仿宋_GB2312" w:hAnsi="方正仿宋_GB2312" w:eastAsia="方正仿宋_GB2312" w:cs="方正仿宋_GB2312"/>
                <w:color w:val="auto"/>
                <w:position w:val="1"/>
                <w:sz w:val="24"/>
                <w:szCs w:val="24"/>
                <w:lang w:val="en-US" w:eastAsia="zh-CN"/>
              </w:rPr>
              <w:t>约束性</w:t>
            </w:r>
          </w:p>
        </w:tc>
        <w:tc>
          <w:tcPr>
            <w:tcW w:w="725" w:type="pct"/>
            <w:shd w:val="clear" w:color="auto" w:fill="auto"/>
            <w:noWrap w:val="0"/>
            <w:vAlign w:val="top"/>
          </w:tcPr>
          <w:p w14:paraId="7103E787">
            <w:pPr>
              <w:spacing w:before="274" w:line="268" w:lineRule="exact"/>
              <w:ind w:firstLine="456" w:firstLineChars="200"/>
              <w:jc w:val="both"/>
              <w:rPr>
                <w:rFonts w:hint="default" w:ascii="方正仿宋_GB2312" w:hAnsi="方正仿宋_GB2312" w:eastAsia="方正仿宋_GB2312" w:cs="方正仿宋_GB2312"/>
                <w:color w:val="auto"/>
                <w:spacing w:val="-6"/>
                <w:kern w:val="2"/>
                <w:position w:val="1"/>
                <w:sz w:val="24"/>
                <w:szCs w:val="24"/>
                <w:lang w:val="en-US" w:eastAsia="zh-CN" w:bidi="ar-SA"/>
              </w:rPr>
            </w:pPr>
            <w:r>
              <w:rPr>
                <w:rFonts w:hint="default" w:ascii="方正仿宋_GB2312" w:hAnsi="方正仿宋_GB2312" w:eastAsia="方正仿宋_GB2312" w:cs="方正仿宋_GB2312"/>
                <w:color w:val="auto"/>
                <w:position w:val="1"/>
                <w:sz w:val="24"/>
                <w:szCs w:val="24"/>
                <w:lang w:val="en-US" w:eastAsia="zh-CN"/>
              </w:rPr>
              <w:t>≤</w:t>
            </w:r>
            <w:r>
              <w:rPr>
                <w:rFonts w:hint="default" w:ascii="Times New Roman" w:hAnsi="Times New Roman" w:eastAsia="方正仿宋_GB2312" w:cs="Times New Roman"/>
                <w:color w:val="auto"/>
                <w:spacing w:val="-6"/>
                <w:kern w:val="2"/>
                <w:position w:val="1"/>
                <w:sz w:val="24"/>
                <w:szCs w:val="24"/>
                <w:lang w:val="en-US" w:eastAsia="zh-CN" w:bidi="ar-SA"/>
              </w:rPr>
              <w:t>1</w:t>
            </w:r>
            <w:r>
              <w:rPr>
                <w:rFonts w:hint="eastAsia" w:ascii="Times New Roman" w:hAnsi="Times New Roman" w:eastAsia="方正仿宋_GB2312" w:cs="Times New Roman"/>
                <w:color w:val="auto"/>
                <w:spacing w:val="-6"/>
                <w:kern w:val="2"/>
                <w:position w:val="1"/>
                <w:sz w:val="24"/>
                <w:szCs w:val="24"/>
                <w:lang w:val="en-US" w:eastAsia="zh-CN" w:bidi="ar-SA"/>
              </w:rPr>
              <w:t>起</w:t>
            </w:r>
          </w:p>
        </w:tc>
      </w:tr>
      <w:tr w14:paraId="75175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4274" w:type="pct"/>
            <w:gridSpan w:val="4"/>
            <w:noWrap w:val="0"/>
            <w:vAlign w:val="top"/>
          </w:tcPr>
          <w:p w14:paraId="66C9A754">
            <w:pPr>
              <w:spacing w:before="272" w:line="228" w:lineRule="auto"/>
              <w:ind w:firstLine="3168" w:firstLineChars="1200"/>
              <w:jc w:val="both"/>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pacing w:val="12"/>
                <w:sz w:val="24"/>
                <w:szCs w:val="24"/>
                <w:lang w:val="en-US" w:eastAsia="zh-CN"/>
              </w:rPr>
              <w:t>防灾减灾（</w:t>
            </w:r>
            <w:r>
              <w:rPr>
                <w:rFonts w:hint="eastAsia" w:ascii="Times New Roman" w:hAnsi="Times New Roman" w:eastAsia="方正仿宋_GB2312" w:cs="Times New Roman"/>
                <w:color w:val="auto"/>
                <w:spacing w:val="12"/>
                <w:sz w:val="24"/>
                <w:szCs w:val="24"/>
                <w:lang w:val="en-US" w:eastAsia="zh-CN"/>
              </w:rPr>
              <w:t>4</w:t>
            </w:r>
            <w:r>
              <w:rPr>
                <w:rFonts w:hint="eastAsia" w:ascii="方正仿宋_GB2312" w:hAnsi="方正仿宋_GB2312" w:eastAsia="方正仿宋_GB2312" w:cs="方正仿宋_GB2312"/>
                <w:color w:val="auto"/>
                <w:spacing w:val="12"/>
                <w:sz w:val="24"/>
                <w:szCs w:val="24"/>
                <w:lang w:val="en-US" w:eastAsia="zh-CN"/>
              </w:rPr>
              <w:t>项）</w:t>
            </w:r>
          </w:p>
        </w:tc>
        <w:tc>
          <w:tcPr>
            <w:tcW w:w="725" w:type="pct"/>
            <w:noWrap w:val="0"/>
            <w:vAlign w:val="top"/>
          </w:tcPr>
          <w:p w14:paraId="242281A8">
            <w:pPr>
              <w:spacing w:before="272" w:line="228" w:lineRule="auto"/>
              <w:ind w:left="2717"/>
              <w:jc w:val="center"/>
              <w:rPr>
                <w:rFonts w:hint="eastAsia" w:ascii="方正仿宋_GB2312" w:hAnsi="方正仿宋_GB2312" w:eastAsia="方正仿宋_GB2312" w:cs="方正仿宋_GB2312"/>
                <w:color w:val="auto"/>
                <w:spacing w:val="11"/>
                <w:sz w:val="24"/>
                <w:szCs w:val="24"/>
              </w:rPr>
            </w:pPr>
          </w:p>
        </w:tc>
      </w:tr>
      <w:tr w14:paraId="2D50C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jc w:val="center"/>
        </w:trPr>
        <w:tc>
          <w:tcPr>
            <w:tcW w:w="461" w:type="pct"/>
            <w:shd w:val="clear" w:color="auto" w:fill="auto"/>
            <w:noWrap w:val="0"/>
            <w:vAlign w:val="center"/>
          </w:tcPr>
          <w:p w14:paraId="1030D3DB">
            <w:pPr>
              <w:snapToGrid w:val="0"/>
              <w:spacing w:before="84" w:line="240" w:lineRule="auto"/>
              <w:ind w:left="0" w:leftChars="0" w:right="0" w:rightChars="0" w:firstLine="0" w:firstLineChars="0"/>
              <w:jc w:val="center"/>
              <w:rPr>
                <w:rFonts w:hint="default" w:ascii="Times New Roman" w:hAnsi="Times New Roman" w:eastAsia="方正仿宋_GB2312" w:cs="Times New Roman"/>
                <w:color w:val="auto"/>
                <w:spacing w:val="-6"/>
                <w:kern w:val="2"/>
                <w:position w:val="1"/>
                <w:sz w:val="24"/>
                <w:szCs w:val="24"/>
                <w:lang w:val="en-US" w:eastAsia="zh-CN" w:bidi="ar-SA"/>
              </w:rPr>
            </w:pPr>
            <w:r>
              <w:rPr>
                <w:rFonts w:hint="eastAsia" w:ascii="Times New Roman" w:hAnsi="Times New Roman" w:cs="Times New Roman"/>
                <w:color w:val="auto"/>
                <w:spacing w:val="-3"/>
                <w:sz w:val="24"/>
                <w:szCs w:val="24"/>
                <w:lang w:val="en-US" w:eastAsia="zh-CN"/>
              </w:rPr>
              <w:t>4</w:t>
            </w:r>
          </w:p>
        </w:tc>
        <w:tc>
          <w:tcPr>
            <w:tcW w:w="2479" w:type="pct"/>
            <w:noWrap w:val="0"/>
            <w:vAlign w:val="center"/>
          </w:tcPr>
          <w:p w14:paraId="18F3BD17">
            <w:pPr>
              <w:snapToGrid w:val="0"/>
              <w:spacing w:before="77"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rPr>
            </w:pPr>
            <w:r>
              <w:rPr>
                <w:rFonts w:ascii="仿宋" w:hAnsi="仿宋" w:eastAsia="仿宋" w:cs="仿宋"/>
                <w:color w:val="auto"/>
                <w:spacing w:val="-4"/>
                <w:sz w:val="24"/>
                <w:szCs w:val="24"/>
              </w:rPr>
              <w:t>年均每</w:t>
            </w:r>
            <w:r>
              <w:rPr>
                <w:rFonts w:hint="eastAsia" w:cs="仿宋"/>
                <w:color w:val="auto"/>
                <w:spacing w:val="-4"/>
                <w:sz w:val="24"/>
                <w:szCs w:val="24"/>
                <w:lang w:val="en-US" w:eastAsia="zh-CN"/>
              </w:rPr>
              <w:t>十</w:t>
            </w:r>
            <w:r>
              <w:rPr>
                <w:rFonts w:ascii="仿宋" w:hAnsi="仿宋" w:eastAsia="仿宋" w:cs="仿宋"/>
                <w:color w:val="auto"/>
                <w:spacing w:val="-4"/>
                <w:sz w:val="24"/>
                <w:szCs w:val="24"/>
              </w:rPr>
              <w:t>万人</w:t>
            </w:r>
            <w:r>
              <w:rPr>
                <w:rFonts w:ascii="仿宋" w:hAnsi="仿宋" w:eastAsia="仿宋" w:cs="仿宋"/>
                <w:color w:val="auto"/>
                <w:spacing w:val="-20"/>
                <w:sz w:val="24"/>
                <w:szCs w:val="24"/>
              </w:rPr>
              <w:t>口因</w:t>
            </w:r>
            <w:r>
              <w:rPr>
                <w:rFonts w:ascii="仿宋" w:hAnsi="仿宋" w:eastAsia="仿宋" w:cs="仿宋"/>
                <w:color w:val="auto"/>
                <w:spacing w:val="-60"/>
                <w:sz w:val="24"/>
                <w:szCs w:val="24"/>
              </w:rPr>
              <w:t xml:space="preserve"> </w:t>
            </w:r>
            <w:r>
              <w:rPr>
                <w:rFonts w:ascii="仿宋" w:hAnsi="仿宋" w:eastAsia="仿宋" w:cs="仿宋"/>
                <w:color w:val="auto"/>
                <w:spacing w:val="-20"/>
                <w:sz w:val="24"/>
                <w:szCs w:val="24"/>
              </w:rPr>
              <w:t>自然灾害</w:t>
            </w:r>
            <w:r>
              <w:rPr>
                <w:rFonts w:ascii="仿宋" w:hAnsi="仿宋" w:eastAsia="仿宋" w:cs="仿宋"/>
                <w:color w:val="auto"/>
                <w:spacing w:val="-7"/>
                <w:sz w:val="24"/>
                <w:szCs w:val="24"/>
              </w:rPr>
              <w:t>死亡率</w:t>
            </w:r>
          </w:p>
        </w:tc>
        <w:tc>
          <w:tcPr>
            <w:tcW w:w="733" w:type="pct"/>
            <w:noWrap w:val="0"/>
            <w:vAlign w:val="top"/>
          </w:tcPr>
          <w:p w14:paraId="54D3296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rightChars="0" w:firstLine="0" w:firstLineChars="0"/>
              <w:jc w:val="center"/>
              <w:textAlignment w:val="baseline"/>
              <w:rPr>
                <w:rFonts w:hint="eastAsia" w:ascii="方正仿宋_GB2312" w:hAnsi="方正仿宋_GB2312" w:eastAsia="方正仿宋_GB2312" w:cs="方正仿宋_GB2312"/>
                <w:color w:val="auto"/>
                <w:sz w:val="24"/>
                <w:szCs w:val="24"/>
              </w:rPr>
            </w:pPr>
            <w:r>
              <w:rPr>
                <w:rFonts w:hint="eastAsia" w:ascii="Times New Roman" w:hAnsi="Times New Roman" w:eastAsia="方正仿宋_GB2312" w:cs="Times New Roman"/>
                <w:b w:val="0"/>
                <w:bCs w:val="0"/>
                <w:snapToGrid w:val="0"/>
                <w:color w:val="auto"/>
                <w:spacing w:val="13"/>
                <w:kern w:val="0"/>
                <w:sz w:val="24"/>
                <w:szCs w:val="24"/>
                <w:lang w:val="en-US" w:eastAsia="zh-CN"/>
              </w:rPr>
              <w:t>0%</w:t>
            </w:r>
          </w:p>
        </w:tc>
        <w:tc>
          <w:tcPr>
            <w:tcW w:w="599" w:type="pct"/>
            <w:noWrap w:val="0"/>
            <w:vAlign w:val="top"/>
          </w:tcPr>
          <w:p w14:paraId="08B30C45">
            <w:pPr>
              <w:spacing w:before="273" w:line="228" w:lineRule="auto"/>
              <w:ind w:left="0" w:leftChars="0" w:firstLine="0" w:firstLineChars="0"/>
              <w:jc w:val="center"/>
              <w:rPr>
                <w:rFonts w:hint="eastAsia" w:ascii="方正仿宋_GB2312" w:hAnsi="方正仿宋_GB2312" w:eastAsia="方正仿宋_GB2312" w:cs="方正仿宋_GB2312"/>
                <w:color w:val="auto"/>
                <w:spacing w:val="9"/>
                <w:sz w:val="24"/>
                <w:szCs w:val="24"/>
              </w:rPr>
            </w:pPr>
            <w:r>
              <w:rPr>
                <w:rFonts w:hint="eastAsia" w:ascii="方正仿宋_GB2312" w:hAnsi="方正仿宋_GB2312" w:eastAsia="方正仿宋_GB2312" w:cs="方正仿宋_GB2312"/>
                <w:color w:val="auto"/>
                <w:spacing w:val="9"/>
                <w:sz w:val="24"/>
                <w:szCs w:val="24"/>
              </w:rPr>
              <w:t>约束性</w:t>
            </w:r>
          </w:p>
        </w:tc>
        <w:tc>
          <w:tcPr>
            <w:tcW w:w="725" w:type="pct"/>
            <w:noWrap w:val="0"/>
            <w:vAlign w:val="top"/>
          </w:tcPr>
          <w:p w14:paraId="393965E1">
            <w:pPr>
              <w:spacing w:before="273" w:line="228" w:lineRule="auto"/>
              <w:ind w:left="0" w:leftChars="0" w:firstLine="0" w:firstLineChars="0"/>
              <w:jc w:val="center"/>
              <w:rPr>
                <w:rFonts w:hint="default" w:ascii="方正仿宋_GB2312" w:hAnsi="方正仿宋_GB2312" w:eastAsia="方正仿宋_GB2312" w:cs="方正仿宋_GB2312"/>
                <w:color w:val="auto"/>
                <w:spacing w:val="25"/>
                <w:sz w:val="24"/>
                <w:szCs w:val="24"/>
                <w:lang w:val="en-US" w:eastAsia="zh-CN"/>
              </w:rPr>
            </w:pPr>
            <w:r>
              <w:rPr>
                <w:rFonts w:hint="eastAsia" w:ascii="Times New Roman" w:hAnsi="Times New Roman" w:eastAsia="方正仿宋_GB2312" w:cs="Times New Roman"/>
                <w:b w:val="0"/>
                <w:bCs w:val="0"/>
                <w:snapToGrid w:val="0"/>
                <w:color w:val="auto"/>
                <w:spacing w:val="13"/>
                <w:kern w:val="0"/>
                <w:sz w:val="24"/>
                <w:szCs w:val="24"/>
                <w:lang w:val="en-US" w:eastAsia="zh-CN"/>
              </w:rPr>
              <w:t>0%</w:t>
            </w:r>
          </w:p>
        </w:tc>
      </w:tr>
      <w:tr w14:paraId="3A636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jc w:val="center"/>
        </w:trPr>
        <w:tc>
          <w:tcPr>
            <w:tcW w:w="461" w:type="pct"/>
            <w:shd w:val="clear" w:color="auto" w:fill="auto"/>
            <w:noWrap w:val="0"/>
            <w:vAlign w:val="center"/>
          </w:tcPr>
          <w:p w14:paraId="64E10FAE">
            <w:pPr>
              <w:snapToGrid w:val="0"/>
              <w:spacing w:before="84" w:line="240" w:lineRule="auto"/>
              <w:ind w:left="0" w:leftChars="0" w:right="0" w:rightChars="0" w:firstLine="0" w:firstLineChars="0"/>
              <w:jc w:val="center"/>
              <w:rPr>
                <w:rFonts w:hint="default" w:ascii="Times New Roman" w:hAnsi="Times New Roman" w:eastAsia="方正仿宋_GB2312" w:cs="Times New Roman"/>
                <w:color w:val="auto"/>
                <w:spacing w:val="-6"/>
                <w:kern w:val="2"/>
                <w:position w:val="1"/>
                <w:sz w:val="24"/>
                <w:szCs w:val="24"/>
                <w:lang w:val="en-US" w:eastAsia="zh-CN" w:bidi="ar-SA"/>
              </w:rPr>
            </w:pPr>
            <w:r>
              <w:rPr>
                <w:rFonts w:hint="eastAsia" w:ascii="Times New Roman" w:hAnsi="Times New Roman" w:cs="Times New Roman"/>
                <w:color w:val="auto"/>
                <w:spacing w:val="-3"/>
                <w:sz w:val="24"/>
                <w:szCs w:val="24"/>
                <w:lang w:val="en-US" w:eastAsia="zh-CN"/>
              </w:rPr>
              <w:t>5</w:t>
            </w:r>
          </w:p>
        </w:tc>
        <w:tc>
          <w:tcPr>
            <w:tcW w:w="2479" w:type="pct"/>
            <w:noWrap w:val="0"/>
            <w:vAlign w:val="center"/>
          </w:tcPr>
          <w:p w14:paraId="302ABE85">
            <w:pPr>
              <w:snapToGrid w:val="0"/>
              <w:spacing w:before="86" w:line="240" w:lineRule="auto"/>
              <w:ind w:left="0" w:leftChars="0" w:right="0" w:rightChars="0" w:firstLine="0" w:firstLineChars="0"/>
              <w:jc w:val="left"/>
              <w:rPr>
                <w:rFonts w:hint="eastAsia" w:ascii="方正仿宋_GB2312" w:hAnsi="方正仿宋_GB2312" w:eastAsia="方正仿宋_GB2312" w:cs="方正仿宋_GB2312"/>
                <w:color w:val="auto"/>
                <w:sz w:val="24"/>
                <w:szCs w:val="24"/>
              </w:rPr>
            </w:pPr>
            <w:r>
              <w:rPr>
                <w:rFonts w:ascii="仿宋" w:hAnsi="仿宋" w:eastAsia="仿宋" w:cs="仿宋"/>
                <w:color w:val="auto"/>
                <w:spacing w:val="-4"/>
                <w:sz w:val="24"/>
                <w:szCs w:val="24"/>
              </w:rPr>
              <w:t>灾害发生后受灾群众基本生</w:t>
            </w:r>
            <w:r>
              <w:rPr>
                <w:rFonts w:hint="eastAsia" w:ascii="仿宋" w:hAnsi="宋体" w:eastAsia="仿宋" w:cs="宋体"/>
                <w:color w:val="auto"/>
                <w:spacing w:val="16"/>
                <w:sz w:val="24"/>
                <w:szCs w:val="20"/>
              </w:rPr>
              <w:t>活得到有效救助</w:t>
            </w:r>
            <w:r>
              <w:rPr>
                <w:rFonts w:hint="eastAsia" w:ascii="仿宋" w:hAnsi="宋体" w:eastAsia="仿宋" w:cs="宋体"/>
                <w:color w:val="auto"/>
                <w:spacing w:val="-1"/>
                <w:sz w:val="24"/>
                <w:szCs w:val="20"/>
              </w:rPr>
              <w:t>时间</w:t>
            </w:r>
          </w:p>
        </w:tc>
        <w:tc>
          <w:tcPr>
            <w:tcW w:w="733" w:type="pct"/>
            <w:noWrap w:val="0"/>
            <w:vAlign w:val="top"/>
          </w:tcPr>
          <w:p w14:paraId="173EA5D2">
            <w:pPr>
              <w:spacing w:before="274" w:line="268" w:lineRule="exact"/>
              <w:ind w:left="0" w:leftChars="0" w:firstLine="228" w:firstLineChars="100"/>
              <w:jc w:val="center"/>
              <w:rPr>
                <w:rFonts w:hint="default" w:ascii="Times New Roman" w:hAnsi="Times New Roman" w:eastAsia="方正仿宋_GB2312" w:cs="Times New Roman"/>
                <w:b w:val="0"/>
                <w:bCs w:val="0"/>
                <w:snapToGrid w:val="0"/>
                <w:color w:val="auto"/>
                <w:spacing w:val="13"/>
                <w:kern w:val="0"/>
                <w:sz w:val="24"/>
                <w:szCs w:val="24"/>
                <w:lang w:val="en-US" w:eastAsia="zh-CN"/>
              </w:rPr>
            </w:pPr>
            <w:r>
              <w:rPr>
                <w:rFonts w:hint="eastAsia" w:ascii="方正仿宋_GB2312" w:hAnsi="方正仿宋_GB2312" w:eastAsia="方正仿宋_GB2312" w:cs="方正仿宋_GB2312"/>
                <w:color w:val="auto"/>
                <w:position w:val="1"/>
                <w:sz w:val="24"/>
                <w:szCs w:val="24"/>
                <w:lang w:val="en-US" w:eastAsia="zh-CN"/>
              </w:rPr>
              <w:t>&lt;</w:t>
            </w:r>
            <w:r>
              <w:rPr>
                <w:rFonts w:hint="eastAsia" w:ascii="Times New Roman" w:hAnsi="Times New Roman" w:eastAsia="方正仿宋_GB2312" w:cs="Times New Roman"/>
                <w:b w:val="0"/>
                <w:bCs w:val="0"/>
                <w:snapToGrid w:val="0"/>
                <w:color w:val="auto"/>
                <w:spacing w:val="13"/>
                <w:kern w:val="0"/>
                <w:sz w:val="24"/>
                <w:szCs w:val="24"/>
                <w:lang w:val="en-US" w:eastAsia="zh-CN"/>
              </w:rPr>
              <w:t>10</w:t>
            </w:r>
            <w:r>
              <w:rPr>
                <w:rFonts w:hint="eastAsia" w:ascii="方正仿宋_GB2312" w:hAnsi="方正仿宋_GB2312" w:eastAsia="方正仿宋_GB2312" w:cs="方正仿宋_GB2312"/>
                <w:color w:val="auto"/>
                <w:position w:val="1"/>
                <w:sz w:val="24"/>
                <w:szCs w:val="24"/>
                <w:lang w:val="en-US" w:eastAsia="zh-CN"/>
              </w:rPr>
              <w:t>小时</w:t>
            </w:r>
          </w:p>
        </w:tc>
        <w:tc>
          <w:tcPr>
            <w:tcW w:w="599" w:type="pct"/>
            <w:noWrap w:val="0"/>
            <w:vAlign w:val="top"/>
          </w:tcPr>
          <w:p w14:paraId="69E45F7B">
            <w:pPr>
              <w:spacing w:before="274" w:line="268" w:lineRule="exact"/>
              <w:ind w:left="0" w:leftChars="0" w:firstLine="0" w:firstLineChars="0"/>
              <w:jc w:val="center"/>
              <w:rPr>
                <w:rFonts w:hint="eastAsia" w:ascii="方正仿宋_GB2312" w:hAnsi="方正仿宋_GB2312" w:eastAsia="方正仿宋_GB2312" w:cs="方正仿宋_GB2312"/>
                <w:color w:val="auto"/>
                <w:spacing w:val="9"/>
                <w:sz w:val="24"/>
                <w:szCs w:val="24"/>
              </w:rPr>
            </w:pPr>
            <w:r>
              <w:rPr>
                <w:rFonts w:hint="eastAsia" w:ascii="方正仿宋_GB2312" w:hAnsi="方正仿宋_GB2312" w:eastAsia="方正仿宋_GB2312" w:cs="方正仿宋_GB2312"/>
                <w:color w:val="auto"/>
                <w:position w:val="1"/>
                <w:sz w:val="24"/>
                <w:szCs w:val="24"/>
                <w:lang w:val="en-US" w:eastAsia="zh-CN"/>
              </w:rPr>
              <w:t>预期值</w:t>
            </w:r>
          </w:p>
        </w:tc>
        <w:tc>
          <w:tcPr>
            <w:tcW w:w="725" w:type="pct"/>
            <w:noWrap w:val="0"/>
            <w:vAlign w:val="top"/>
          </w:tcPr>
          <w:p w14:paraId="117282DC">
            <w:pPr>
              <w:spacing w:before="274" w:line="268" w:lineRule="exact"/>
              <w:ind w:left="0" w:leftChars="0" w:firstLine="228" w:firstLineChars="100"/>
              <w:jc w:val="center"/>
              <w:rPr>
                <w:rFonts w:hint="default" w:ascii="方正仿宋_GB2312" w:hAnsi="方正仿宋_GB2312" w:eastAsia="方正仿宋_GB2312" w:cs="方正仿宋_GB2312"/>
                <w:color w:val="auto"/>
                <w:spacing w:val="25"/>
                <w:sz w:val="24"/>
                <w:szCs w:val="24"/>
                <w:lang w:val="en-US" w:eastAsia="zh-CN"/>
              </w:rPr>
            </w:pPr>
            <w:r>
              <w:rPr>
                <w:rFonts w:hint="eastAsia" w:ascii="方正仿宋_GB2312" w:hAnsi="方正仿宋_GB2312" w:eastAsia="方正仿宋_GB2312" w:cs="方正仿宋_GB2312"/>
                <w:color w:val="auto"/>
                <w:position w:val="1"/>
                <w:sz w:val="24"/>
                <w:szCs w:val="24"/>
                <w:lang w:val="en-US" w:eastAsia="zh-CN"/>
              </w:rPr>
              <w:t>&lt;</w:t>
            </w:r>
            <w:r>
              <w:rPr>
                <w:rFonts w:hint="eastAsia" w:ascii="Times New Roman" w:hAnsi="Times New Roman" w:eastAsia="方正仿宋_GB2312" w:cs="Times New Roman"/>
                <w:b w:val="0"/>
                <w:bCs w:val="0"/>
                <w:snapToGrid w:val="0"/>
                <w:color w:val="auto"/>
                <w:spacing w:val="13"/>
                <w:kern w:val="0"/>
                <w:sz w:val="24"/>
                <w:szCs w:val="24"/>
                <w:lang w:val="en-US" w:eastAsia="zh-CN"/>
              </w:rPr>
              <w:t>10</w:t>
            </w:r>
            <w:r>
              <w:rPr>
                <w:rFonts w:hint="eastAsia" w:ascii="方正仿宋_GB2312" w:hAnsi="方正仿宋_GB2312" w:eastAsia="方正仿宋_GB2312" w:cs="方正仿宋_GB2312"/>
                <w:color w:val="auto"/>
                <w:position w:val="1"/>
                <w:sz w:val="24"/>
                <w:szCs w:val="24"/>
                <w:lang w:val="en-US" w:eastAsia="zh-CN"/>
              </w:rPr>
              <w:t>小时</w:t>
            </w:r>
          </w:p>
        </w:tc>
      </w:tr>
      <w:tr w14:paraId="7AB2E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jc w:val="center"/>
        </w:trPr>
        <w:tc>
          <w:tcPr>
            <w:tcW w:w="461" w:type="pct"/>
            <w:shd w:val="clear" w:color="auto" w:fill="auto"/>
            <w:noWrap w:val="0"/>
            <w:vAlign w:val="center"/>
          </w:tcPr>
          <w:p w14:paraId="2837EE4A">
            <w:pPr>
              <w:snapToGrid w:val="0"/>
              <w:spacing w:before="84" w:line="240" w:lineRule="auto"/>
              <w:ind w:left="0" w:leftChars="0" w:right="0" w:rightChars="0" w:firstLine="0" w:firstLineChars="0"/>
              <w:jc w:val="center"/>
              <w:rPr>
                <w:rFonts w:hint="default" w:ascii="Times New Roman" w:hAnsi="Times New Roman" w:eastAsia="方正仿宋_GB2312" w:cs="Times New Roman"/>
                <w:color w:val="auto"/>
                <w:spacing w:val="-6"/>
                <w:kern w:val="2"/>
                <w:position w:val="1"/>
                <w:sz w:val="24"/>
                <w:szCs w:val="24"/>
                <w:lang w:val="en-US" w:eastAsia="zh-CN" w:bidi="ar-SA"/>
              </w:rPr>
            </w:pPr>
            <w:r>
              <w:rPr>
                <w:rFonts w:hint="eastAsia" w:ascii="Times New Roman" w:hAnsi="Times New Roman" w:cs="Times New Roman"/>
                <w:color w:val="auto"/>
                <w:spacing w:val="-3"/>
                <w:sz w:val="24"/>
                <w:szCs w:val="24"/>
                <w:lang w:val="en-US" w:eastAsia="zh-CN"/>
              </w:rPr>
              <w:t>6</w:t>
            </w:r>
          </w:p>
        </w:tc>
        <w:tc>
          <w:tcPr>
            <w:tcW w:w="2479" w:type="pct"/>
            <w:noWrap w:val="0"/>
            <w:vAlign w:val="center"/>
          </w:tcPr>
          <w:p w14:paraId="4F912549">
            <w:pPr>
              <w:snapToGrid w:val="0"/>
              <w:spacing w:before="86" w:line="240" w:lineRule="auto"/>
              <w:ind w:left="0" w:leftChars="0" w:right="0" w:rightChars="0" w:firstLine="0" w:firstLineChars="0"/>
              <w:jc w:val="left"/>
              <w:rPr>
                <w:rFonts w:hint="eastAsia" w:ascii="方正仿宋_GB2312" w:hAnsi="方正仿宋_GB2312" w:eastAsia="方正仿宋_GB2312" w:cs="方正仿宋_GB2312"/>
                <w:color w:val="auto"/>
                <w:position w:val="1"/>
                <w:sz w:val="24"/>
                <w:szCs w:val="24"/>
                <w:lang w:val="en-US" w:eastAsia="zh-CN"/>
              </w:rPr>
            </w:pPr>
            <w:r>
              <w:rPr>
                <w:rFonts w:hint="eastAsia" w:cs="仿宋"/>
                <w:color w:val="auto"/>
                <w:spacing w:val="-3"/>
                <w:kern w:val="2"/>
                <w:sz w:val="24"/>
                <w:szCs w:val="24"/>
                <w:lang w:val="en-US" w:eastAsia="zh-CN" w:bidi="ar-SA"/>
              </w:rPr>
              <w:t>县级规范化应急避难场所数量</w:t>
            </w:r>
          </w:p>
        </w:tc>
        <w:tc>
          <w:tcPr>
            <w:tcW w:w="733" w:type="pct"/>
            <w:noWrap w:val="0"/>
            <w:vAlign w:val="top"/>
          </w:tcPr>
          <w:p w14:paraId="1D19EA5F">
            <w:pPr>
              <w:spacing w:before="274" w:line="268" w:lineRule="exact"/>
              <w:ind w:firstLine="456" w:firstLineChars="200"/>
              <w:jc w:val="both"/>
              <w:rPr>
                <w:rFonts w:hint="default" w:ascii="Times New Roman" w:hAnsi="Times New Roman" w:eastAsia="方正仿宋_GB2312" w:cs="Times New Roman"/>
                <w:b w:val="0"/>
                <w:bCs w:val="0"/>
                <w:snapToGrid w:val="0"/>
                <w:color w:val="auto"/>
                <w:spacing w:val="13"/>
                <w:kern w:val="0"/>
                <w:sz w:val="24"/>
                <w:szCs w:val="24"/>
                <w:lang w:val="en-US" w:eastAsia="zh-CN"/>
              </w:rPr>
            </w:pPr>
            <w:r>
              <w:rPr>
                <w:rFonts w:hint="eastAsia" w:ascii="方正仿宋_GB2312" w:hAnsi="方正仿宋_GB2312" w:eastAsia="方正仿宋_GB2312" w:cs="方正仿宋_GB2312"/>
                <w:color w:val="auto"/>
                <w:position w:val="1"/>
                <w:sz w:val="24"/>
                <w:szCs w:val="24"/>
                <w:lang w:val="en-US" w:eastAsia="zh-CN"/>
              </w:rPr>
              <w:t>&gt;</w:t>
            </w:r>
            <w:r>
              <w:rPr>
                <w:rFonts w:hint="eastAsia" w:ascii="Times New Roman" w:hAnsi="Times New Roman" w:eastAsia="方正仿宋_GB2312" w:cs="Times New Roman"/>
                <w:b w:val="0"/>
                <w:bCs w:val="0"/>
                <w:snapToGrid w:val="0"/>
                <w:color w:val="auto"/>
                <w:spacing w:val="13"/>
                <w:kern w:val="0"/>
                <w:sz w:val="24"/>
                <w:szCs w:val="24"/>
                <w:lang w:val="en-US" w:eastAsia="zh-CN"/>
              </w:rPr>
              <w:t>10处</w:t>
            </w:r>
          </w:p>
        </w:tc>
        <w:tc>
          <w:tcPr>
            <w:tcW w:w="599" w:type="pct"/>
            <w:noWrap w:val="0"/>
            <w:vAlign w:val="top"/>
          </w:tcPr>
          <w:p w14:paraId="5A2A9D57">
            <w:pPr>
              <w:spacing w:before="274" w:line="268" w:lineRule="exact"/>
              <w:ind w:left="0" w:leftChars="0" w:firstLine="0" w:firstLineChars="0"/>
              <w:jc w:val="center"/>
              <w:rPr>
                <w:rFonts w:hint="default" w:ascii="方正仿宋_GB2312" w:hAnsi="方正仿宋_GB2312" w:eastAsia="方正仿宋_GB2312" w:cs="方正仿宋_GB2312"/>
                <w:color w:val="auto"/>
                <w:spacing w:val="9"/>
                <w:sz w:val="24"/>
                <w:szCs w:val="24"/>
                <w:lang w:val="en-US" w:eastAsia="zh-CN"/>
              </w:rPr>
            </w:pPr>
            <w:r>
              <w:rPr>
                <w:rFonts w:hint="eastAsia" w:ascii="方正仿宋_GB2312" w:hAnsi="方正仿宋_GB2312" w:eastAsia="方正仿宋_GB2312" w:cs="方正仿宋_GB2312"/>
                <w:color w:val="auto"/>
                <w:position w:val="1"/>
                <w:sz w:val="24"/>
                <w:szCs w:val="24"/>
                <w:lang w:val="en-US" w:eastAsia="zh-CN"/>
              </w:rPr>
              <w:t>预期值</w:t>
            </w:r>
          </w:p>
        </w:tc>
        <w:tc>
          <w:tcPr>
            <w:tcW w:w="725" w:type="pct"/>
            <w:noWrap w:val="0"/>
            <w:vAlign w:val="top"/>
          </w:tcPr>
          <w:p w14:paraId="0B302A87">
            <w:pPr>
              <w:spacing w:before="274" w:line="268" w:lineRule="exact"/>
              <w:ind w:firstLine="532" w:firstLineChars="200"/>
              <w:jc w:val="both"/>
              <w:rPr>
                <w:rFonts w:hint="default" w:ascii="方正仿宋_GB2312" w:hAnsi="方正仿宋_GB2312" w:eastAsia="方正仿宋_GB2312" w:cs="方正仿宋_GB2312"/>
                <w:color w:val="auto"/>
                <w:position w:val="1"/>
                <w:sz w:val="24"/>
                <w:szCs w:val="24"/>
                <w:lang w:val="en-US" w:eastAsia="zh-CN"/>
              </w:rPr>
            </w:pPr>
            <w:r>
              <w:rPr>
                <w:rFonts w:hint="eastAsia" w:ascii="Times New Roman" w:hAnsi="Times New Roman" w:eastAsia="方正仿宋_GB2312" w:cs="Times New Roman"/>
                <w:b w:val="0"/>
                <w:bCs w:val="0"/>
                <w:snapToGrid w:val="0"/>
                <w:color w:val="auto"/>
                <w:spacing w:val="13"/>
                <w:kern w:val="0"/>
                <w:sz w:val="24"/>
                <w:szCs w:val="24"/>
                <w:lang w:val="en-US" w:eastAsia="zh-CN"/>
              </w:rPr>
              <w:t>12处</w:t>
            </w:r>
          </w:p>
        </w:tc>
      </w:tr>
      <w:tr w14:paraId="76172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jc w:val="center"/>
        </w:trPr>
        <w:tc>
          <w:tcPr>
            <w:tcW w:w="461" w:type="pct"/>
            <w:shd w:val="clear" w:color="auto" w:fill="auto"/>
            <w:noWrap w:val="0"/>
            <w:vAlign w:val="center"/>
          </w:tcPr>
          <w:p w14:paraId="63E41EDD">
            <w:pPr>
              <w:snapToGrid w:val="0"/>
              <w:spacing w:before="84" w:line="240" w:lineRule="auto"/>
              <w:ind w:left="0" w:leftChars="0" w:right="0" w:rightChars="0" w:firstLine="0" w:firstLineChars="0"/>
              <w:jc w:val="center"/>
              <w:rPr>
                <w:rFonts w:hint="default" w:ascii="Times New Roman" w:hAnsi="Times New Roman" w:eastAsia="方正仿宋_GB2312" w:cs="Times New Roman"/>
                <w:color w:val="auto"/>
                <w:spacing w:val="-6"/>
                <w:kern w:val="2"/>
                <w:position w:val="1"/>
                <w:sz w:val="24"/>
                <w:szCs w:val="24"/>
                <w:lang w:val="en-US" w:eastAsia="zh-CN" w:bidi="ar-SA"/>
              </w:rPr>
            </w:pPr>
            <w:r>
              <w:rPr>
                <w:rFonts w:hint="eastAsia" w:ascii="Times New Roman" w:hAnsi="Times New Roman" w:cs="Times New Roman"/>
                <w:color w:val="auto"/>
                <w:spacing w:val="-3"/>
                <w:sz w:val="24"/>
                <w:szCs w:val="24"/>
                <w:lang w:val="en-US" w:eastAsia="zh-CN"/>
              </w:rPr>
              <w:t>7</w:t>
            </w:r>
          </w:p>
        </w:tc>
        <w:tc>
          <w:tcPr>
            <w:tcW w:w="2479" w:type="pct"/>
            <w:noWrap w:val="0"/>
            <w:vAlign w:val="center"/>
          </w:tcPr>
          <w:p w14:paraId="662349D2">
            <w:pPr>
              <w:snapToGrid w:val="0"/>
              <w:spacing w:before="86" w:line="240" w:lineRule="auto"/>
              <w:ind w:left="0" w:leftChars="0" w:right="0" w:rightChars="0" w:firstLine="0" w:firstLineChars="0"/>
              <w:jc w:val="left"/>
              <w:rPr>
                <w:color w:val="auto"/>
              </w:rPr>
            </w:pPr>
            <w:r>
              <w:rPr>
                <w:rFonts w:ascii="仿宋" w:hAnsi="仿宋" w:eastAsia="仿宋" w:cs="仿宋"/>
                <w:color w:val="auto"/>
                <w:spacing w:val="-4"/>
                <w:sz w:val="24"/>
                <w:szCs w:val="24"/>
              </w:rPr>
              <w:t>每个城乡社区灾害信息员数量</w:t>
            </w:r>
          </w:p>
        </w:tc>
        <w:tc>
          <w:tcPr>
            <w:tcW w:w="733" w:type="pct"/>
            <w:noWrap w:val="0"/>
            <w:vAlign w:val="top"/>
          </w:tcPr>
          <w:p w14:paraId="37B73AE5">
            <w:pPr>
              <w:spacing w:before="274" w:line="268" w:lineRule="exact"/>
              <w:ind w:firstLine="456" w:firstLineChars="200"/>
              <w:jc w:val="both"/>
              <w:rPr>
                <w:rFonts w:hint="eastAsia" w:ascii="Times New Roman" w:hAnsi="Times New Roman" w:eastAsia="方正仿宋_GB2312" w:cs="Times New Roman"/>
                <w:b w:val="0"/>
                <w:bCs w:val="0"/>
                <w:snapToGrid w:val="0"/>
                <w:color w:val="auto"/>
                <w:spacing w:val="13"/>
                <w:kern w:val="0"/>
                <w:sz w:val="24"/>
                <w:szCs w:val="24"/>
                <w:lang w:val="en-US" w:eastAsia="zh-CN"/>
              </w:rPr>
            </w:pPr>
            <w:r>
              <w:rPr>
                <w:rFonts w:hint="eastAsia" w:ascii="方正仿宋_GB2312" w:hAnsi="方正仿宋_GB2312" w:eastAsia="方正仿宋_GB2312" w:cs="方正仿宋_GB2312"/>
                <w:color w:val="auto"/>
                <w:position w:val="1"/>
                <w:sz w:val="24"/>
                <w:szCs w:val="24"/>
                <w:lang w:val="en-US" w:eastAsia="zh-CN"/>
              </w:rPr>
              <w:t>&gt;</w:t>
            </w:r>
            <w:r>
              <w:rPr>
                <w:rFonts w:hint="eastAsia" w:ascii="Times New Roman" w:hAnsi="Times New Roman" w:eastAsia="方正仿宋_GB2312" w:cs="Times New Roman"/>
                <w:b w:val="0"/>
                <w:bCs w:val="0"/>
                <w:snapToGrid w:val="0"/>
                <w:color w:val="auto"/>
                <w:spacing w:val="13"/>
                <w:kern w:val="0"/>
                <w:sz w:val="24"/>
                <w:szCs w:val="24"/>
                <w:lang w:val="en-US" w:eastAsia="zh-CN"/>
              </w:rPr>
              <w:t>2人</w:t>
            </w:r>
          </w:p>
        </w:tc>
        <w:tc>
          <w:tcPr>
            <w:tcW w:w="599" w:type="pct"/>
            <w:noWrap w:val="0"/>
            <w:vAlign w:val="top"/>
          </w:tcPr>
          <w:p w14:paraId="1ECF7762">
            <w:pPr>
              <w:spacing w:before="274" w:line="268" w:lineRule="exact"/>
              <w:ind w:left="0" w:leftChars="0" w:firstLine="0" w:firstLineChars="0"/>
              <w:jc w:val="center"/>
              <w:rPr>
                <w:rFonts w:hint="eastAsia" w:ascii="方正仿宋_GB2312" w:hAnsi="方正仿宋_GB2312" w:eastAsia="方正仿宋_GB2312" w:cs="方正仿宋_GB2312"/>
                <w:color w:val="auto"/>
                <w:spacing w:val="9"/>
                <w:sz w:val="24"/>
                <w:szCs w:val="24"/>
                <w:lang w:val="en-US" w:eastAsia="zh-CN"/>
              </w:rPr>
            </w:pPr>
            <w:r>
              <w:rPr>
                <w:rFonts w:hint="eastAsia" w:ascii="方正仿宋_GB2312" w:hAnsi="方正仿宋_GB2312" w:eastAsia="方正仿宋_GB2312" w:cs="方正仿宋_GB2312"/>
                <w:color w:val="auto"/>
                <w:position w:val="1"/>
                <w:sz w:val="24"/>
                <w:szCs w:val="24"/>
                <w:lang w:val="en-US" w:eastAsia="zh-CN"/>
              </w:rPr>
              <w:t>预期值</w:t>
            </w:r>
          </w:p>
        </w:tc>
        <w:tc>
          <w:tcPr>
            <w:tcW w:w="725" w:type="pct"/>
            <w:noWrap w:val="0"/>
            <w:vAlign w:val="top"/>
          </w:tcPr>
          <w:p w14:paraId="2BD396F7">
            <w:pPr>
              <w:spacing w:before="274" w:line="268" w:lineRule="exact"/>
              <w:ind w:firstLine="532" w:firstLineChars="200"/>
              <w:jc w:val="both"/>
              <w:rPr>
                <w:rFonts w:hint="eastAsia" w:ascii="方正仿宋_GB2312" w:hAnsi="方正仿宋_GB2312" w:eastAsia="方正仿宋_GB2312" w:cs="方正仿宋_GB2312"/>
                <w:color w:val="auto"/>
                <w:position w:val="1"/>
                <w:sz w:val="24"/>
                <w:szCs w:val="24"/>
                <w:lang w:val="en-US" w:eastAsia="zh-CN"/>
              </w:rPr>
            </w:pPr>
            <w:r>
              <w:rPr>
                <w:rFonts w:hint="eastAsia" w:ascii="Times New Roman" w:hAnsi="Times New Roman" w:eastAsia="方正仿宋_GB2312" w:cs="Times New Roman"/>
                <w:b w:val="0"/>
                <w:bCs w:val="0"/>
                <w:snapToGrid w:val="0"/>
                <w:color w:val="auto"/>
                <w:spacing w:val="13"/>
                <w:kern w:val="0"/>
                <w:sz w:val="24"/>
                <w:szCs w:val="24"/>
                <w:lang w:val="en-US" w:eastAsia="zh-CN"/>
              </w:rPr>
              <w:t>3人</w:t>
            </w:r>
          </w:p>
        </w:tc>
      </w:tr>
    </w:tbl>
    <w:p w14:paraId="11F68105">
      <w:pPr>
        <w:pageBreakBefore w:val="0"/>
        <w:wordWrap/>
        <w:overflowPunct/>
        <w:topLinePunct w:val="0"/>
        <w:bidi w:val="0"/>
        <w:adjustRightInd w:val="0"/>
        <w:snapToGrid w:val="0"/>
        <w:spacing w:afterAutospacing="0" w:line="560" w:lineRule="exact"/>
        <w:ind w:left="0" w:leftChars="0" w:right="0" w:firstLine="0" w:firstLineChars="0"/>
        <w:jc w:val="both"/>
        <w:outlineLvl w:val="0"/>
        <w:rPr>
          <w:rFonts w:hint="eastAsia" w:ascii="黑体" w:hAnsi="黑体" w:eastAsia="黑体" w:cs="黑体"/>
          <w:color w:val="auto"/>
          <w:spacing w:val="5"/>
          <w:position w:val="1"/>
          <w:sz w:val="32"/>
          <w:szCs w:val="32"/>
        </w:rPr>
      </w:pPr>
      <w:bookmarkStart w:id="40" w:name="_Toc2079"/>
      <w:bookmarkStart w:id="41" w:name="_Toc28261"/>
      <w:bookmarkStart w:id="42" w:name="_Toc20196"/>
    </w:p>
    <w:p w14:paraId="3B679F0F">
      <w:pPr>
        <w:pageBreakBefore w:val="0"/>
        <w:wordWrap/>
        <w:overflowPunct/>
        <w:topLinePunct w:val="0"/>
        <w:bidi w:val="0"/>
        <w:adjustRightInd w:val="0"/>
        <w:snapToGrid w:val="0"/>
        <w:spacing w:afterAutospacing="0" w:line="560" w:lineRule="exact"/>
        <w:ind w:left="0" w:leftChars="0" w:right="0" w:firstLine="0" w:firstLineChars="0"/>
        <w:jc w:val="center"/>
        <w:outlineLvl w:val="0"/>
        <w:rPr>
          <w:rFonts w:hint="eastAsia" w:ascii="黑体" w:hAnsi="黑体" w:eastAsia="黑体" w:cs="黑体"/>
          <w:color w:val="auto"/>
          <w:spacing w:val="5"/>
          <w:position w:val="1"/>
          <w:sz w:val="32"/>
          <w:szCs w:val="32"/>
        </w:rPr>
      </w:pPr>
    </w:p>
    <w:p w14:paraId="430C3E74">
      <w:pPr>
        <w:pageBreakBefore w:val="0"/>
        <w:wordWrap/>
        <w:overflowPunct/>
        <w:topLinePunct w:val="0"/>
        <w:bidi w:val="0"/>
        <w:adjustRightInd w:val="0"/>
        <w:snapToGrid w:val="0"/>
        <w:spacing w:afterAutospacing="0" w:line="560" w:lineRule="exact"/>
        <w:ind w:left="0" w:leftChars="0" w:right="0" w:firstLine="0" w:firstLineChars="0"/>
        <w:jc w:val="both"/>
        <w:outlineLvl w:val="0"/>
        <w:rPr>
          <w:rFonts w:hint="eastAsia" w:ascii="黑体" w:hAnsi="黑体" w:eastAsia="黑体" w:cs="黑体"/>
          <w:color w:val="auto"/>
          <w:spacing w:val="5"/>
          <w:position w:val="1"/>
          <w:sz w:val="32"/>
          <w:szCs w:val="32"/>
        </w:rPr>
      </w:pPr>
    </w:p>
    <w:p w14:paraId="706337B5">
      <w:pPr>
        <w:pageBreakBefore w:val="0"/>
        <w:wordWrap/>
        <w:overflowPunct/>
        <w:topLinePunct w:val="0"/>
        <w:bidi w:val="0"/>
        <w:adjustRightInd w:val="0"/>
        <w:snapToGrid w:val="0"/>
        <w:spacing w:afterAutospacing="0" w:line="560" w:lineRule="exact"/>
        <w:ind w:left="0" w:leftChars="0" w:right="0" w:firstLine="0" w:firstLineChars="0"/>
        <w:jc w:val="center"/>
        <w:outlineLvl w:val="0"/>
        <w:rPr>
          <w:rFonts w:hint="eastAsia" w:ascii="黑体" w:hAnsi="黑体" w:eastAsia="黑体" w:cs="黑体"/>
          <w:color w:val="auto"/>
          <w:sz w:val="32"/>
          <w:szCs w:val="32"/>
        </w:rPr>
      </w:pPr>
      <w:r>
        <w:rPr>
          <w:rFonts w:hint="eastAsia" w:ascii="黑体" w:hAnsi="黑体" w:eastAsia="黑体" w:cs="黑体"/>
          <w:color w:val="auto"/>
          <w:spacing w:val="5"/>
          <w:position w:val="1"/>
          <w:sz w:val="32"/>
          <w:szCs w:val="32"/>
        </w:rPr>
        <w:t>第三章</w:t>
      </w:r>
      <w:r>
        <w:rPr>
          <w:rFonts w:hint="eastAsia" w:ascii="黑体" w:hAnsi="黑体" w:eastAsia="黑体" w:cs="黑体"/>
          <w:color w:val="auto"/>
          <w:spacing w:val="5"/>
          <w:position w:val="1"/>
          <w:sz w:val="32"/>
          <w:szCs w:val="32"/>
          <w:lang w:val="en-US" w:eastAsia="zh-CN"/>
        </w:rPr>
        <w:t xml:space="preserve">  </w:t>
      </w:r>
      <w:r>
        <w:rPr>
          <w:rFonts w:hint="eastAsia" w:ascii="黑体" w:hAnsi="黑体" w:eastAsia="黑体" w:cs="黑体"/>
          <w:color w:val="auto"/>
          <w:spacing w:val="5"/>
          <w:position w:val="1"/>
          <w:sz w:val="32"/>
          <w:szCs w:val="32"/>
        </w:rPr>
        <w:t>重点任务</w:t>
      </w:r>
      <w:bookmarkEnd w:id="40"/>
      <w:bookmarkEnd w:id="41"/>
    </w:p>
    <w:p w14:paraId="426D5501">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bookmarkStart w:id="43" w:name="_Toc17278"/>
      <w:bookmarkStart w:id="44" w:name="_Toc3865"/>
      <w:r>
        <w:rPr>
          <w:rFonts w:hint="eastAsia" w:ascii="方正楷体简体" w:hAnsi="方正楷体简体" w:eastAsia="方正楷体简体" w:cs="方正楷体简体"/>
          <w:b/>
          <w:bCs/>
          <w:snapToGrid w:val="0"/>
          <w:color w:val="auto"/>
          <w:spacing w:val="3"/>
          <w:kern w:val="0"/>
          <w:sz w:val="32"/>
          <w:szCs w:val="32"/>
          <w:lang w:val="en-US" w:eastAsia="zh-CN"/>
        </w:rPr>
        <w:t>第一节  推进应急管理体系</w:t>
      </w:r>
      <w:bookmarkEnd w:id="42"/>
      <w:bookmarkEnd w:id="43"/>
      <w:r>
        <w:rPr>
          <w:rFonts w:hint="eastAsia" w:ascii="方正楷体简体" w:hAnsi="方正楷体简体" w:eastAsia="方正楷体简体" w:cs="方正楷体简体"/>
          <w:b/>
          <w:bCs/>
          <w:snapToGrid w:val="0"/>
          <w:color w:val="auto"/>
          <w:spacing w:val="3"/>
          <w:kern w:val="0"/>
          <w:sz w:val="32"/>
          <w:szCs w:val="32"/>
          <w:lang w:val="en-US" w:eastAsia="zh-CN"/>
        </w:rPr>
        <w:t>建设</w:t>
      </w:r>
      <w:bookmarkEnd w:id="44"/>
    </w:p>
    <w:p w14:paraId="109BC8F7">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45" w:name="_Toc27422"/>
      <w:r>
        <w:rPr>
          <w:rFonts w:hint="eastAsia" w:ascii="楷体" w:hAnsi="楷体" w:eastAsia="楷体" w:cs="楷体"/>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一、健全应急指挥体系</w:t>
      </w:r>
      <w:bookmarkEnd w:id="45"/>
    </w:p>
    <w:p w14:paraId="537809B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十五五”期间进一步健全“统一指挥、专常兼备、反应灵敏、上下联动”的应急指挥工作体系，统一整合防汛抗旱、森林草原防灭火、防震减灾、地质灾害防治、生产安全事故应急等指挥体系。明确县、乡镇（街办、园区）、行政村（社区）三级应急指挥责任链条，建立“县级统一指挥、乡镇属地负责、村级落实落地”的纵向到底横向到边的指挥链。</w:t>
      </w:r>
    </w:p>
    <w:p w14:paraId="7E813CFB">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46" w:name="_Toc5461"/>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二、</w:t>
      </w:r>
      <w:bookmarkEnd w:id="46"/>
      <w:r>
        <w:rPr>
          <w:rFonts w:hint="eastAsia" w:ascii="仿宋_GB2312" w:hAnsi="仿宋_GB2312" w:eastAsia="仿宋_GB2312" w:cs="仿宋_GB2312"/>
          <w:b/>
          <w:bCs/>
          <w:color w:val="auto"/>
          <w:spacing w:val="3"/>
          <w:sz w:val="32"/>
          <w:szCs w:val="32"/>
          <w:lang w:val="en-US" w:eastAsia="zh-CN"/>
        </w:rPr>
        <w:t>完善制度标准体系</w:t>
      </w:r>
    </w:p>
    <w:p w14:paraId="56FF4D3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衔接对照《地质灾害防治条例》《新疆维吾尔自治区地质灾害防治条例》以及自治区、地区有关应急管理规范，梳理县级指挥运行中在预警发布、会商研判、启动响应、终止响应、信息发布等方面的制度缺口，统筹修订配套制度。推动应急指挥流程与国家、自治区相关技术标准和工作规范对标，形成统一的灾情分类分级、损失统计、信息报送和舆情应对标准。建立常态值班、重点时段“战时”运行、重大任务专项运转等不同运行模式，规范转换条件。建立可考核、可问责的绩效体系，对在重大灾害应对中反应迟缓、指挥失当造成严重后果的，依法依规严肃追责，以刚性问责倒逼规范履职。</w:t>
      </w:r>
    </w:p>
    <w:p w14:paraId="4D8ADE58">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47" w:name="_Toc2093"/>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三、强化应急管理责任落实</w:t>
      </w:r>
    </w:p>
    <w:p w14:paraId="32E69313">
      <w:pPr>
        <w:keepNext w:val="0"/>
        <w:keepLines w:val="0"/>
        <w:pageBreakBefore w:val="0"/>
        <w:wordWrap/>
        <w:overflowPunct/>
        <w:topLinePunct w:val="0"/>
        <w:bidi w:val="0"/>
        <w:adjustRightInd w:val="0"/>
        <w:snapToGrid w:val="0"/>
        <w:spacing w:afterAutospacing="0" w:line="560" w:lineRule="exact"/>
        <w:ind w:left="0" w:right="0" w:firstLine="0" w:firstLineChars="0"/>
        <w:jc w:val="both"/>
        <w:outlineLvl w:val="2"/>
        <w:rPr>
          <w:rFonts w:hint="eastAsia" w:ascii="仿宋_GB2312" w:hAnsi="仿宋_GB2312" w:eastAsia="仿宋_GB2312" w:cs="仿宋_GB2312"/>
          <w:b/>
          <w:bCs/>
          <w:snapToGrid w:val="0"/>
          <w:color w:val="auto"/>
          <w:spacing w:val="7"/>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坚持“党政同责、一岗双责、齐抓共管、失职追责”安全生产责任原则，严格依据《中华人民共和国突发事件应对法》《中华人民共和国安全生产法》等法律法规，构建全方位、全链条、全覆盖的应急管理责任落实体系。压实党政领导责任，明确县级党委、政府主要</w:t>
      </w:r>
      <w:r>
        <w:rPr>
          <w:rFonts w:hint="eastAsia" w:ascii="仿宋_GB2312" w:hAnsi="仿宋_GB2312" w:eastAsia="仿宋_GB2312" w:cs="仿宋_GB2312"/>
          <w:snapToGrid w:val="0"/>
          <w:color w:val="auto"/>
          <w:spacing w:val="13"/>
          <w:kern w:val="0"/>
          <w:sz w:val="32"/>
          <w:szCs w:val="32"/>
          <w:lang w:val="en-US" w:eastAsia="zh-CN"/>
        </w:rPr>
        <w:t>负责人为第一责任人，定期召开专题会议部署应急工作，推动责任向基层延伸。健全责任链条，细化各级各岗位责任分工，将应急管理责任纳入年度绩效考核，形成层层抓落实的工作格局。规范制度执行，完善应急预案体系，强化风险分级管控和隐患排查治理闭环管理，扎实做好应急准备各项工作。严格考核巡查，实行分级分类考核，落实“一票否决”制度，强化督责问责刚性约束，对未履行应急管理责任、失职渎职造成不良后果的，依法依规从严查处，形成有力震慑。</w:t>
      </w:r>
    </w:p>
    <w:p w14:paraId="0A8BD4AA">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bCs/>
          <w:color w:val="auto"/>
          <w:spacing w:val="3"/>
          <w:sz w:val="32"/>
          <w:szCs w:val="32"/>
          <w:lang w:val="en-US" w:eastAsia="zh-CN"/>
        </w:rPr>
        <w:t>　　四、健全应急预案体系</w:t>
      </w:r>
      <w:bookmarkEnd w:id="47"/>
    </w:p>
    <w:p w14:paraId="05F0248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color w:val="auto"/>
          <w:spacing w:val="4"/>
          <w:sz w:val="32"/>
          <w:szCs w:val="32"/>
          <w:lang w:val="en-US" w:eastAsia="zh-CN"/>
        </w:rPr>
      </w:pPr>
      <w:bookmarkStart w:id="48" w:name="_Toc20635"/>
      <w:r>
        <w:rPr>
          <w:rFonts w:hint="eastAsia" w:ascii="仿宋_GB2312" w:hAnsi="仿宋_GB2312" w:eastAsia="仿宋_GB2312" w:cs="仿宋_GB2312"/>
          <w:snapToGrid w:val="0"/>
          <w:color w:val="auto"/>
          <w:spacing w:val="13"/>
          <w:kern w:val="0"/>
          <w:sz w:val="32"/>
          <w:szCs w:val="32"/>
          <w:lang w:val="en-US" w:eastAsia="zh-CN"/>
        </w:rPr>
        <w:t>　　结合国家和自治区已印发的总体及专项应急预案，形成我县需配套制订或修订的预案清单，明确牵头部门、协作部门与完成时限，并将此工作纳入县应急管理局重点工作。强化情景构建和多灾种联合响应设计，明确不同情景下的分级响应、指挥层级变更与部门联动措施。</w:t>
      </w:r>
      <w:bookmarkEnd w:id="48"/>
      <w:bookmarkStart w:id="49" w:name="_Toc29733"/>
      <w:r>
        <w:rPr>
          <w:rFonts w:hint="eastAsia" w:ascii="仿宋_GB2312" w:hAnsi="仿宋_GB2312" w:eastAsia="仿宋_GB2312" w:cs="仿宋_GB2312"/>
          <w:snapToGrid w:val="0"/>
          <w:color w:val="auto"/>
          <w:spacing w:val="13"/>
          <w:kern w:val="0"/>
          <w:sz w:val="32"/>
          <w:szCs w:val="32"/>
          <w:lang w:val="en-US" w:eastAsia="zh-CN"/>
        </w:rPr>
        <w:t>完善预案运行与演练评估机制，县级层面制定统一应急演练计划，每年或每两年组织一次综合性应急演练，并根据自治区自然灾害救助、水旱灾害防御和地质灾害预案要求，定期开展防汛抗旱、山洪地质灾害、森林草原火灾等专项演练。</w:t>
      </w:r>
      <w:bookmarkEnd w:id="49"/>
      <w:bookmarkStart w:id="50" w:name="_Toc13308"/>
      <w:r>
        <w:rPr>
          <w:rFonts w:hint="eastAsia" w:ascii="仿宋_GB2312" w:hAnsi="仿宋_GB2312" w:eastAsia="仿宋_GB2312" w:cs="仿宋_GB2312"/>
          <w:snapToGrid w:val="0"/>
          <w:color w:val="auto"/>
          <w:spacing w:val="13"/>
          <w:kern w:val="0"/>
          <w:sz w:val="32"/>
          <w:szCs w:val="32"/>
          <w:lang w:val="en-US" w:eastAsia="zh-CN"/>
        </w:rPr>
        <w:t>依托县级统一应急管理信息平台，推进县级预案数字化管理与信息共享，实现预案电子化归档、全文检索、版本管理、责任单位提醒等功能，融合</w:t>
      </w:r>
      <w:r>
        <w:rPr>
          <w:rFonts w:hint="default" w:ascii="Times New Roman" w:hAnsi="Times New Roman" w:eastAsia="仿宋_GB2312" w:cs="Times New Roman"/>
          <w:snapToGrid w:val="0"/>
          <w:color w:val="auto"/>
          <w:spacing w:val="13"/>
          <w:kern w:val="0"/>
          <w:sz w:val="32"/>
          <w:szCs w:val="32"/>
          <w:lang w:val="en-US" w:eastAsia="zh-CN"/>
        </w:rPr>
        <w:t>GIS</w:t>
      </w:r>
      <w:r>
        <w:rPr>
          <w:rFonts w:hint="eastAsia" w:ascii="Times New Roman" w:hAnsi="Times New Roman" w:eastAsia="仿宋_GB2312" w:cs="Times New Roman"/>
          <w:snapToGrid w:val="0"/>
          <w:color w:val="auto"/>
          <w:spacing w:val="13"/>
          <w:kern w:val="0"/>
          <w:sz w:val="32"/>
          <w:szCs w:val="32"/>
          <w:lang w:val="en-US" w:eastAsia="zh-CN"/>
        </w:rPr>
        <w:t>技术</w:t>
      </w:r>
      <w:r>
        <w:rPr>
          <w:rFonts w:hint="eastAsia" w:ascii="仿宋_GB2312" w:hAnsi="仿宋_GB2312" w:eastAsia="仿宋_GB2312" w:cs="仿宋_GB2312"/>
          <w:snapToGrid w:val="0"/>
          <w:color w:val="auto"/>
          <w:spacing w:val="13"/>
          <w:kern w:val="0"/>
          <w:sz w:val="32"/>
          <w:szCs w:val="32"/>
          <w:lang w:val="en-US" w:eastAsia="zh-CN"/>
        </w:rPr>
        <w:t>，形成县域风险与应急资源“预案+一张图”。</w:t>
      </w:r>
      <w:bookmarkEnd w:id="50"/>
    </w:p>
    <w:p w14:paraId="45250649">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default" w:ascii="楷体" w:hAnsi="楷体" w:eastAsia="楷体" w:cs="楷体"/>
          <w:b/>
          <w:bCs/>
          <w:snapToGrid w:val="0"/>
          <w:color w:val="auto"/>
          <w:spacing w:val="7"/>
          <w:kern w:val="0"/>
          <w:sz w:val="32"/>
          <w:szCs w:val="32"/>
          <w:lang w:val="en-US" w:eastAsia="zh-CN"/>
        </w:rPr>
      </w:pPr>
      <w:bookmarkStart w:id="51" w:name="_Toc10702"/>
      <w:bookmarkStart w:id="52" w:name="_Toc24446"/>
      <w:bookmarkStart w:id="53" w:name="_Toc21062"/>
      <w:r>
        <w:rPr>
          <w:rFonts w:hint="eastAsia" w:ascii="方正楷体简体" w:hAnsi="方正楷体简体" w:eastAsia="方正楷体简体" w:cs="方正楷体简体"/>
          <w:b/>
          <w:bCs/>
          <w:snapToGrid w:val="0"/>
          <w:color w:val="auto"/>
          <w:spacing w:val="3"/>
          <w:kern w:val="0"/>
          <w:sz w:val="32"/>
          <w:szCs w:val="32"/>
          <w:lang w:val="en-US" w:eastAsia="zh-CN"/>
        </w:rPr>
        <w:t>第二节  健全风险预警体系，提高风险防控能力</w:t>
      </w:r>
      <w:bookmarkEnd w:id="51"/>
      <w:bookmarkEnd w:id="52"/>
    </w:p>
    <w:bookmarkEnd w:id="53"/>
    <w:p w14:paraId="4FBD892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outlineLvl w:val="2"/>
        <w:rPr>
          <w:rFonts w:hint="eastAsia" w:ascii="仿宋_GB2312" w:hAnsi="仿宋_GB2312" w:eastAsia="仿宋_GB2312" w:cs="仿宋_GB2312"/>
          <w:b w:val="0"/>
          <w:bCs w:val="0"/>
          <w:snapToGrid w:val="0"/>
          <w:color w:val="auto"/>
          <w:spacing w:val="7"/>
          <w:kern w:val="0"/>
          <w:sz w:val="32"/>
          <w:szCs w:val="32"/>
          <w:lang w:val="en-US" w:eastAsia="zh-CN"/>
        </w:rPr>
      </w:pPr>
      <w:bookmarkStart w:id="54" w:name="_Toc1641"/>
      <w:r>
        <w:rPr>
          <w:rFonts w:hint="eastAsia" w:ascii="楷体" w:hAnsi="楷体" w:eastAsia="楷体" w:cs="楷体"/>
          <w:b/>
          <w:bCs/>
          <w:snapToGrid w:val="0"/>
          <w:color w:val="auto"/>
          <w:spacing w:val="7"/>
          <w:kern w:val="0"/>
          <w:sz w:val="32"/>
          <w:szCs w:val="32"/>
          <w:lang w:val="en-US" w:eastAsia="zh-CN"/>
        </w:rPr>
        <w:t>　</w:t>
      </w:r>
      <w:r>
        <w:rPr>
          <w:rFonts w:hint="eastAsia" w:ascii="方正仿宋_GB2312" w:hAnsi="方正仿宋_GB2312" w:eastAsia="方正仿宋_GB2312" w:cs="方正仿宋_GB2312"/>
          <w:b w:val="0"/>
          <w:bCs w:val="0"/>
          <w:snapToGrid w:val="0"/>
          <w:color w:val="auto"/>
          <w:spacing w:val="7"/>
          <w:kern w:val="0"/>
          <w:sz w:val="32"/>
          <w:szCs w:val="32"/>
          <w:lang w:val="en-US" w:eastAsia="zh-CN"/>
        </w:rPr>
        <w:t>　</w:t>
      </w:r>
      <w:r>
        <w:rPr>
          <w:rFonts w:hint="eastAsia" w:ascii="仿宋_GB2312" w:hAnsi="仿宋_GB2312" w:eastAsia="仿宋_GB2312" w:cs="仿宋_GB2312"/>
          <w:b/>
          <w:bCs/>
          <w:snapToGrid w:val="0"/>
          <w:color w:val="auto"/>
          <w:spacing w:val="7"/>
          <w:kern w:val="0"/>
          <w:sz w:val="32"/>
          <w:szCs w:val="32"/>
          <w:lang w:val="en-US" w:eastAsia="zh-CN"/>
        </w:rPr>
        <w:t>一、完善风险源识别与评估体系</w:t>
      </w:r>
    </w:p>
    <w:p w14:paraId="6E90CE2A">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建立空间化、分行业的风险识别框架，针对自然灾害风险源、事故灾难风险源、道路交通风险点、公共卫生与社会安全风险点等进行重点识别，形成风险识别框架。完善风险评估与分级标准，建立统一的风险评估指标体系，实施分区分级管理，将全县划分为高风险区、中风险区、一般风险区。</w:t>
      </w:r>
      <w:bookmarkEnd w:id="54"/>
    </w:p>
    <w:p w14:paraId="5ABFB0DE">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55" w:name="_Toc937"/>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　二、构建“县—乡—村—网格”四级排查体系</w:t>
      </w:r>
    </w:p>
    <w:p w14:paraId="51EFED1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统一开发或推广隐患排查信息系统，按统一格式录入信息，应急管理局与住建、交通、农业农村、卫健、气象等部门建立联合会商机制。每个乡镇明确</w:t>
      </w:r>
      <w:r>
        <w:rPr>
          <w:rFonts w:hint="eastAsia" w:ascii="仿宋_GB2312" w:hAnsi="仿宋_GB2312" w:eastAsia="仿宋_GB2312" w:cs="仿宋_GB2312"/>
          <w:snapToGrid w:val="0"/>
          <w:color w:val="auto"/>
          <w:spacing w:val="13"/>
          <w:kern w:val="0"/>
          <w:sz w:val="32"/>
          <w:szCs w:val="32"/>
          <w:lang w:val="en-US" w:eastAsia="zh-CN"/>
        </w:rPr>
        <w:t>1</w:t>
      </w:r>
      <w:r>
        <w:rPr>
          <w:rFonts w:hint="eastAsia" w:ascii="仿宋_GB2312" w:hAnsi="仿宋_GB2312" w:eastAsia="仿宋_GB2312" w:cs="仿宋_GB2312"/>
          <w:b w:val="0"/>
          <w:bCs w:val="0"/>
          <w:snapToGrid w:val="0"/>
          <w:color w:val="auto"/>
          <w:spacing w:val="13"/>
          <w:kern w:val="0"/>
          <w:sz w:val="32"/>
          <w:szCs w:val="32"/>
          <w:lang w:val="en-US" w:eastAsia="zh-CN"/>
        </w:rPr>
        <w:t>名分管领导+</w:t>
      </w:r>
      <w:r>
        <w:rPr>
          <w:rFonts w:hint="eastAsia" w:ascii="仿宋_GB2312" w:hAnsi="仿宋_GB2312" w:eastAsia="仿宋_GB2312" w:cs="仿宋_GB2312"/>
          <w:snapToGrid w:val="0"/>
          <w:color w:val="auto"/>
          <w:spacing w:val="13"/>
          <w:kern w:val="0"/>
          <w:sz w:val="32"/>
          <w:szCs w:val="32"/>
          <w:lang w:val="en-US" w:eastAsia="zh-CN"/>
        </w:rPr>
        <w:t>1</w:t>
      </w:r>
      <w:r>
        <w:rPr>
          <w:rFonts w:hint="eastAsia" w:ascii="仿宋_GB2312" w:hAnsi="仿宋_GB2312" w:eastAsia="仿宋_GB2312" w:cs="仿宋_GB2312"/>
          <w:b w:val="0"/>
          <w:bCs w:val="0"/>
          <w:snapToGrid w:val="0"/>
          <w:color w:val="auto"/>
          <w:spacing w:val="13"/>
          <w:kern w:val="0"/>
          <w:sz w:val="32"/>
          <w:szCs w:val="32"/>
          <w:lang w:val="en-US" w:eastAsia="zh-CN"/>
        </w:rPr>
        <w:t>名专职应急管理干部，按“村+行业网格”组织定期排查，负责汇总上报、督促隐患整改闭环。网格员、村干部、护林员、联防员等统一纳入“基层应急网格力量”，配发隐患排查简明手册。日常排查+重点时段专项排查。形成隐患闭环管理：发现—登记—交办—整改—验收—销号。对于重大隐患，纳入“县级挂牌督办”，并与考核和问责挂钩。</w:t>
      </w:r>
      <w:bookmarkEnd w:id="55"/>
    </w:p>
    <w:p w14:paraId="1EA20932">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snapToGrid w:val="0"/>
          <w:color w:val="auto"/>
          <w:spacing w:val="7"/>
          <w:kern w:val="0"/>
          <w:sz w:val="32"/>
          <w:szCs w:val="32"/>
          <w:lang w:val="en-US" w:eastAsia="zh-CN"/>
        </w:rPr>
      </w:pPr>
      <w:bookmarkStart w:id="56" w:name="_Toc10972"/>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三、建设监测预警与信息共享平台</w:t>
      </w:r>
    </w:p>
    <w:p w14:paraId="231D053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both"/>
        <w:textAlignment w:val="baseline"/>
        <w:rPr>
          <w:rFonts w:hint="eastAsia" w:ascii="仿宋_GB2312" w:hAnsi="仿宋_GB2312" w:eastAsia="仿宋_GB2312" w:cs="仿宋_GB2312"/>
          <w:b/>
          <w:bCs/>
          <w:snapToGrid w:val="0"/>
          <w:color w:val="auto"/>
          <w:spacing w:val="7"/>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构建多层次监测网络，县应急管理局与气象、水利、自然资源等部门协同，保障关键区域的雨量站、水位站、地质灾害监测点、风沙监测点布设；建立山洪灾害与地质灾害重点监测村名单，配备简易监测仪器和“群测群防员”。安全生产与事故风险监测，对危化品、矿山、重大工程项目等高风险企业，推进视频监控联网、关键工艺参数在线监测，县级平台可远程查看。公共卫生与社会稳定监测，卫健部门负责推进传染病、食品安全事件、群体性不明症状等的数据化监测与快速上报。建立数据共享与会商研判机制，把分散在气象、水利、自然资源、交通、住建、卫健等部门的监测数据统一接入应急指挥平台，形成“一屏总览、多部门数据联通”的监测格局。</w:t>
      </w:r>
      <w:bookmarkEnd w:id="56"/>
      <w:bookmarkStart w:id="57" w:name="_Toc29100"/>
      <w:bookmarkStart w:id="58" w:name="_Toc4436"/>
      <w:bookmarkStart w:id="59" w:name="_Toc21664"/>
    </w:p>
    <w:p w14:paraId="7D6902E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center"/>
        <w:textAlignment w:val="baseline"/>
        <w:outlineLvl w:val="1"/>
        <w:rPr>
          <w:rFonts w:hint="eastAsia" w:ascii="黑体" w:hAnsi="黑体" w:eastAsia="黑体" w:cs="黑体"/>
          <w:snapToGrid w:val="0"/>
          <w:color w:val="auto"/>
          <w:spacing w:val="5"/>
          <w:kern w:val="0"/>
          <w:sz w:val="32"/>
          <w:szCs w:val="32"/>
          <w:lang w:val="en-US" w:eastAsia="zh-CN"/>
        </w:rPr>
      </w:pPr>
      <w:r>
        <w:rPr>
          <w:rFonts w:hint="eastAsia" w:ascii="楷体" w:hAnsi="楷体" w:eastAsia="楷体" w:cs="楷体"/>
          <w:b/>
          <w:bCs/>
          <w:snapToGrid w:val="0"/>
          <w:color w:val="auto"/>
          <w:spacing w:val="7"/>
          <w:kern w:val="0"/>
          <w:sz w:val="32"/>
          <w:szCs w:val="32"/>
          <w:lang w:val="en-US" w:eastAsia="zh-CN"/>
        </w:rPr>
        <w:t>　　</w:t>
      </w:r>
      <w:r>
        <w:rPr>
          <w:rFonts w:hint="eastAsia" w:ascii="方正楷体简体" w:hAnsi="方正楷体简体" w:eastAsia="方正楷体简体" w:cs="方正楷体简体"/>
          <w:b/>
          <w:bCs/>
          <w:snapToGrid w:val="0"/>
          <w:color w:val="auto"/>
          <w:spacing w:val="3"/>
          <w:kern w:val="0"/>
          <w:sz w:val="32"/>
          <w:szCs w:val="32"/>
          <w:lang w:val="en-US" w:eastAsia="zh-CN"/>
        </w:rPr>
        <w:t>第三节  全面提升应急管理能力</w:t>
      </w:r>
      <w:bookmarkEnd w:id="57"/>
      <w:bookmarkEnd w:id="58"/>
      <w:bookmarkEnd w:id="59"/>
    </w:p>
    <w:p w14:paraId="35CE0DC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outlineLvl w:val="2"/>
        <w:rPr>
          <w:rFonts w:hint="eastAsia" w:ascii="仿宋_GB2312" w:hAnsi="仿宋_GB2312" w:eastAsia="仿宋_GB2312" w:cs="仿宋_GB2312"/>
          <w:b w:val="0"/>
          <w:bCs w:val="0"/>
          <w:snapToGrid w:val="0"/>
          <w:color w:val="auto"/>
          <w:spacing w:val="7"/>
          <w:kern w:val="0"/>
          <w:sz w:val="32"/>
          <w:szCs w:val="32"/>
          <w:lang w:val="en-US" w:eastAsia="zh-CN"/>
        </w:rPr>
      </w:pPr>
      <w:r>
        <w:rPr>
          <w:rFonts w:hint="eastAsia" w:ascii="楷体" w:hAnsi="楷体" w:eastAsia="楷体" w:cs="楷体"/>
          <w:b/>
          <w:bCs/>
          <w:snapToGrid w:val="0"/>
          <w:color w:val="auto"/>
          <w:spacing w:val="7"/>
          <w:kern w:val="0"/>
          <w:sz w:val="32"/>
          <w:szCs w:val="32"/>
          <w:lang w:val="en-US" w:eastAsia="zh-CN"/>
        </w:rPr>
        <w:t>　</w:t>
      </w:r>
      <w:r>
        <w:rPr>
          <w:rFonts w:hint="eastAsia" w:ascii="楷体" w:hAnsi="楷体" w:eastAsia="楷体" w:cs="楷体"/>
          <w:b w:val="0"/>
          <w:bCs w:val="0"/>
          <w:snapToGrid w:val="0"/>
          <w:color w:val="auto"/>
          <w:spacing w:val="7"/>
          <w:kern w:val="0"/>
          <w:sz w:val="32"/>
          <w:szCs w:val="32"/>
          <w:lang w:val="en-US" w:eastAsia="zh-CN"/>
        </w:rPr>
        <w:t>　</w:t>
      </w:r>
      <w:r>
        <w:rPr>
          <w:rFonts w:hint="eastAsia" w:ascii="仿宋_GB2312" w:hAnsi="仿宋_GB2312" w:eastAsia="仿宋_GB2312" w:cs="仿宋_GB2312"/>
          <w:b/>
          <w:bCs/>
          <w:snapToGrid w:val="0"/>
          <w:color w:val="auto"/>
          <w:spacing w:val="7"/>
          <w:kern w:val="0"/>
          <w:sz w:val="32"/>
          <w:szCs w:val="32"/>
          <w:lang w:val="en-US" w:eastAsia="zh-CN"/>
        </w:rPr>
        <w:t>一、夯实应急组织，构建“末梢有抓手”的治理单元</w:t>
      </w:r>
    </w:p>
    <w:p w14:paraId="0948615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推动县应急管理局向“指挥中枢+专业支撑”转型，完善与消防救援、气象、水利、自然资源、卫健等部门的联席机制；按“事随人走、人随事调”原则，推动乡镇成立专门的应急管理和安全生产工作岗位。在乡镇层面建立主要领导“亲自研究、亲自部署、亲自督导”的工作制度，把应急管理纳入乡镇党委、政府年度述职和考核的重要内容。规范村级应急工作站建设，统一设置村级应急工作站；将村“两委”成员中</w:t>
      </w:r>
      <w:r>
        <w:rPr>
          <w:rFonts w:hint="default" w:ascii="Times New Roman" w:hAnsi="Times New Roman" w:eastAsia="仿宋_GB2312" w:cs="Times New Roman"/>
          <w:b w:val="0"/>
          <w:bCs w:val="0"/>
          <w:snapToGrid w:val="0"/>
          <w:color w:val="auto"/>
          <w:spacing w:val="13"/>
          <w:kern w:val="0"/>
          <w:sz w:val="32"/>
          <w:szCs w:val="32"/>
          <w:lang w:val="en-US" w:eastAsia="zh-CN"/>
        </w:rPr>
        <w:t>1</w:t>
      </w:r>
      <w:r>
        <w:rPr>
          <w:rFonts w:hint="eastAsia" w:ascii="仿宋_GB2312" w:hAnsi="仿宋_GB2312" w:eastAsia="仿宋_GB2312" w:cs="仿宋_GB2312"/>
          <w:b w:val="0"/>
          <w:bCs w:val="0"/>
          <w:snapToGrid w:val="0"/>
          <w:color w:val="auto"/>
          <w:spacing w:val="13"/>
          <w:kern w:val="0"/>
          <w:sz w:val="32"/>
          <w:szCs w:val="32"/>
          <w:lang w:val="en-US" w:eastAsia="zh-CN"/>
        </w:rPr>
        <w:t>人明确为兼职安全员，纳入乡镇应急管理工作统一培训和指挥。推动网格化管理与应急融合，将安全风险排查、防灾减灾宣传、隐患报告等职责嵌入网格员日常工作清单；建立“网格员+志愿者+联户长”的微单元，应对火灾、险情、人员走失等“小事件”，实现“小事不出村、早发现早处置”的应急处置格局。</w:t>
      </w:r>
    </w:p>
    <w:p w14:paraId="10806B9F">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60" w:name="_Toc17582"/>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二、补齐基础短板，推进基层应急信息化建设</w:t>
      </w:r>
    </w:p>
    <w:p w14:paraId="2F756D0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构建“县级发布—乡镇转发—村组落地”的三级预警传导机制，整合广播喇叭、短信平台、微信公众号等渠道，打通“最后一公里”预警体系。建设乡村应急综合信息平台，在条件具备的乡镇（街办、园区）推动建立综合指挥平台，与县级应急、公安、消防、水利等部门实现数据互联。探索利用“大喇叭+微信群”组合方式，提升风险信息收集和发布的及时性和准确性。</w:t>
      </w:r>
    </w:p>
    <w:p w14:paraId="5E13B820">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bCs/>
          <w:color w:val="auto"/>
          <w:spacing w:val="3"/>
          <w:sz w:val="32"/>
          <w:szCs w:val="32"/>
          <w:lang w:val="en-US" w:eastAsia="zh-CN"/>
        </w:rPr>
      </w:pPr>
      <w:r>
        <w:rPr>
          <w:rFonts w:hint="eastAsia" w:ascii="仿宋_GB2312" w:hAnsi="仿宋_GB2312" w:eastAsia="仿宋_GB2312" w:cs="仿宋_GB2312"/>
          <w:b/>
          <w:bCs/>
          <w:color w:val="auto"/>
          <w:spacing w:val="3"/>
          <w:sz w:val="32"/>
          <w:szCs w:val="32"/>
          <w:lang w:val="en-US" w:eastAsia="zh-CN"/>
        </w:rPr>
        <w:t>　　三、锻造专业队伍，打造高水平应急力量</w:t>
      </w:r>
    </w:p>
    <w:p w14:paraId="1DE1E8E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县级层面定期举办应急管理专题培训班，将乡镇（街办、园区）主要领导、分管领导、专干和村干部纳入培训范围，针对乡村干部制定短周期、模块化的培训课程。实行“以</w:t>
      </w:r>
      <w:r>
        <w:rPr>
          <w:rFonts w:hint="eastAsia" w:ascii="仿宋_GB2312" w:hAnsi="仿宋_GB2312" w:eastAsia="仿宋_GB2312" w:cs="仿宋_GB2312"/>
          <w:snapToGrid w:val="0"/>
          <w:color w:val="auto"/>
          <w:spacing w:val="13"/>
          <w:kern w:val="0"/>
          <w:sz w:val="32"/>
          <w:szCs w:val="32"/>
          <w:lang w:val="en-US" w:eastAsia="zh-CN"/>
        </w:rPr>
        <w:t>案代训、以战代训”，每发生一起典型事件，都要组织复盘分析，形成准确记录，纳入日常学习。在大型演练和实战中，让基层干部在真实情境中承担角色、参与指挥，不断磨合队伍。加强专业救援和社会辅助队伍建设，优化县级专业救援力量布局，探索组建专业（或半专业）综合救援队，在重点乡镇</w:t>
      </w:r>
      <w:r>
        <w:rPr>
          <w:rFonts w:hint="eastAsia" w:ascii="仿宋_GB2312" w:hAnsi="仿宋_GB2312" w:eastAsia="仿宋_GB2312" w:cs="仿宋_GB2312"/>
          <w:b w:val="0"/>
          <w:bCs w:val="0"/>
          <w:snapToGrid w:val="0"/>
          <w:color w:val="auto"/>
          <w:spacing w:val="13"/>
          <w:kern w:val="0"/>
          <w:sz w:val="32"/>
          <w:szCs w:val="32"/>
          <w:lang w:val="en-US" w:eastAsia="zh-CN"/>
        </w:rPr>
        <w:t>（街办、园区）</w:t>
      </w:r>
      <w:r>
        <w:rPr>
          <w:rFonts w:hint="eastAsia" w:ascii="仿宋_GB2312" w:hAnsi="仿宋_GB2312" w:eastAsia="仿宋_GB2312" w:cs="仿宋_GB2312"/>
          <w:snapToGrid w:val="0"/>
          <w:color w:val="auto"/>
          <w:spacing w:val="13"/>
          <w:kern w:val="0"/>
          <w:sz w:val="32"/>
          <w:szCs w:val="32"/>
          <w:lang w:val="en-US" w:eastAsia="zh-CN"/>
        </w:rPr>
        <w:t>建立前置救援小组或救援点，缩短应急响应时间。规范民兵、志愿者、社会救援力量建设，明确任务分工和指挥关系。组建以退役军人、医务人员、青年志愿者为主体的应急志愿者队伍，开展心肺复苏、简易救援、安全宣讲等服务工作。</w:t>
      </w:r>
    </w:p>
    <w:p w14:paraId="6E04BEB6">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eastAsia" w:ascii="楷体" w:hAnsi="楷体" w:eastAsia="楷体" w:cs="楷体"/>
          <w:b/>
          <w:bCs/>
          <w:snapToGrid w:val="0"/>
          <w:color w:val="auto"/>
          <w:spacing w:val="7"/>
          <w:kern w:val="0"/>
          <w:sz w:val="32"/>
          <w:szCs w:val="32"/>
          <w:lang w:val="en-US" w:eastAsia="zh-CN"/>
        </w:rPr>
      </w:pPr>
      <w:bookmarkStart w:id="61" w:name="_Toc26314"/>
      <w:bookmarkStart w:id="62" w:name="_Toc22980"/>
      <w:r>
        <w:rPr>
          <w:rFonts w:hint="eastAsia" w:ascii="方正楷体简体" w:hAnsi="方正楷体简体" w:eastAsia="方正楷体简体" w:cs="方正楷体简体"/>
          <w:b/>
          <w:bCs/>
          <w:snapToGrid w:val="0"/>
          <w:color w:val="auto"/>
          <w:spacing w:val="3"/>
          <w:kern w:val="0"/>
          <w:sz w:val="32"/>
          <w:szCs w:val="32"/>
          <w:lang w:val="en-US" w:eastAsia="zh-CN"/>
        </w:rPr>
        <w:t>第四节  完善物资储备，提升应急处置和恢复能力</w:t>
      </w:r>
      <w:bookmarkEnd w:id="61"/>
      <w:bookmarkEnd w:id="62"/>
    </w:p>
    <w:bookmarkEnd w:id="60"/>
    <w:p w14:paraId="6291169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outlineLvl w:val="2"/>
        <w:rPr>
          <w:rFonts w:hint="eastAsia" w:ascii="仿宋_GB2312" w:hAnsi="仿宋_GB2312" w:eastAsia="仿宋_GB2312" w:cs="仿宋_GB2312"/>
          <w:b w:val="0"/>
          <w:bCs w:val="0"/>
          <w:snapToGrid w:val="0"/>
          <w:color w:val="auto"/>
          <w:spacing w:val="7"/>
          <w:kern w:val="0"/>
          <w:sz w:val="32"/>
          <w:szCs w:val="32"/>
          <w:lang w:val="en-US" w:eastAsia="zh-CN"/>
        </w:rPr>
      </w:pPr>
      <w:r>
        <w:rPr>
          <w:rFonts w:hint="eastAsia" w:ascii="楷体" w:hAnsi="楷体" w:eastAsia="楷体" w:cs="楷体"/>
          <w:b/>
          <w:bCs/>
          <w:snapToGrid w:val="0"/>
          <w:color w:val="auto"/>
          <w:spacing w:val="7"/>
          <w:kern w:val="0"/>
          <w:sz w:val="32"/>
          <w:szCs w:val="32"/>
          <w:lang w:val="en-US" w:eastAsia="zh-CN"/>
        </w:rPr>
        <w:t>　　</w:t>
      </w:r>
      <w:r>
        <w:rPr>
          <w:rFonts w:hint="eastAsia" w:ascii="仿宋_GB2312" w:hAnsi="仿宋_GB2312" w:eastAsia="仿宋_GB2312" w:cs="仿宋_GB2312"/>
          <w:b/>
          <w:bCs/>
          <w:snapToGrid w:val="0"/>
          <w:color w:val="auto"/>
          <w:spacing w:val="7"/>
          <w:kern w:val="0"/>
          <w:sz w:val="32"/>
          <w:szCs w:val="32"/>
          <w:lang w:val="en-US" w:eastAsia="zh-CN"/>
        </w:rPr>
        <w:t>一、强化综合应急物资储备和保障</w:t>
      </w:r>
    </w:p>
    <w:p w14:paraId="001B19B8">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完善仓储布局与分类储备，在县城建设综合性应急物资库，重点储备帐篷、棉被、应急照明、应急通讯等物资。在重点乡镇、重点企业周边布局若干“前置库”和应急物资储备点，重点储备抢险救援装备、防护用品和应急燃料。推进数智化仓储管理，建立应急物资管理信息系统。建立“政府储备+社会联储”机制，通过协议储备、定向采购等方式，与大型商超、粮油企业、加油站等签订应急保供协议。将企业自有抢险设备、应急车辆等纳入应急资源数据库，建立社会应急资源清单，实现应急资源统一调配。</w:t>
      </w:r>
    </w:p>
    <w:p w14:paraId="71960DA9">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二、培育壮大安全应急产业</w:t>
      </w:r>
    </w:p>
    <w:p w14:paraId="37A780C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明确安全应急产业发展方向，结合我县产业基础，引导企业发展个人防护装备、防灾减灾设备、应急照明与通信设备等。打造应急产业集聚平台，在工业园区规划应急产业发展空间，引入具备技术优势的安全装备和智能监测企业。引导县域企业优先采购本地应急安全装备产品，通过 “政府示范采购 + 企业集中订单” 模式培育本地应急产业内生市场。</w:t>
      </w:r>
    </w:p>
    <w:p w14:paraId="6EDE72D8">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1D347A31">
      <w:pPr>
        <w:pageBreakBefore w:val="0"/>
        <w:widowControl/>
        <w:kinsoku w:val="0"/>
        <w:wordWrap/>
        <w:overflowPunct/>
        <w:topLinePunct w:val="0"/>
        <w:autoSpaceDE w:val="0"/>
        <w:autoSpaceDN w:val="0"/>
        <w:bidi w:val="0"/>
        <w:adjustRightInd w:val="0"/>
        <w:snapToGrid w:val="0"/>
        <w:spacing w:afterAutospacing="0" w:line="576" w:lineRule="exact"/>
        <w:ind w:left="0" w:right="0" w:firstLine="2422" w:firstLineChars="700"/>
        <w:jc w:val="left"/>
        <w:textAlignment w:val="baseline"/>
        <w:outlineLvl w:val="0"/>
        <w:rPr>
          <w:rFonts w:hint="eastAsia" w:ascii="黑体" w:hAnsi="黑体" w:eastAsia="黑体" w:cs="黑体"/>
          <w:snapToGrid w:val="0"/>
          <w:color w:val="auto"/>
          <w:spacing w:val="13"/>
          <w:kern w:val="0"/>
          <w:sz w:val="32"/>
          <w:szCs w:val="32"/>
          <w:lang w:val="en-US" w:eastAsia="zh-CN"/>
        </w:rPr>
      </w:pPr>
      <w:bookmarkStart w:id="63" w:name="_Toc22610"/>
      <w:bookmarkStart w:id="64" w:name="_Toc9017"/>
      <w:r>
        <w:rPr>
          <w:rFonts w:hint="eastAsia" w:ascii="黑体" w:hAnsi="黑体" w:eastAsia="黑体" w:cs="黑体"/>
          <w:snapToGrid w:val="0"/>
          <w:color w:val="auto"/>
          <w:spacing w:val="13"/>
          <w:kern w:val="0"/>
          <w:sz w:val="32"/>
          <w:szCs w:val="32"/>
          <w:lang w:val="en-US" w:eastAsia="zh-CN"/>
        </w:rPr>
        <w:t>第四章</w:t>
      </w:r>
      <w:bookmarkStart w:id="65" w:name="_Toc2592"/>
      <w:r>
        <w:rPr>
          <w:rFonts w:hint="eastAsia" w:ascii="黑体" w:hAnsi="黑体" w:eastAsia="黑体" w:cs="黑体"/>
          <w:snapToGrid w:val="0"/>
          <w:color w:val="auto"/>
          <w:spacing w:val="13"/>
          <w:kern w:val="0"/>
          <w:sz w:val="32"/>
          <w:szCs w:val="32"/>
          <w:lang w:val="en-US" w:eastAsia="zh-CN"/>
        </w:rPr>
        <w:t xml:space="preserve">   重点</w:t>
      </w:r>
      <w:bookmarkEnd w:id="63"/>
      <w:bookmarkEnd w:id="64"/>
      <w:bookmarkEnd w:id="65"/>
      <w:r>
        <w:rPr>
          <w:rFonts w:hint="eastAsia" w:ascii="黑体" w:hAnsi="黑体" w:eastAsia="黑体" w:cs="黑体"/>
          <w:snapToGrid w:val="0"/>
          <w:color w:val="auto"/>
          <w:spacing w:val="13"/>
          <w:kern w:val="0"/>
          <w:sz w:val="32"/>
          <w:szCs w:val="32"/>
          <w:lang w:val="en-US" w:eastAsia="zh-CN"/>
        </w:rPr>
        <w:t>项目</w:t>
      </w:r>
    </w:p>
    <w:p w14:paraId="4292C2EE">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bookmarkStart w:id="66" w:name="_Toc8164"/>
      <w:bookmarkStart w:id="67" w:name="_Toc16382"/>
      <w:bookmarkStart w:id="68" w:name="_Toc21698"/>
      <w:r>
        <w:rPr>
          <w:rFonts w:hint="eastAsia" w:ascii="方正楷体简体" w:hAnsi="方正楷体简体" w:eastAsia="方正楷体简体" w:cs="方正楷体简体"/>
          <w:b/>
          <w:bCs/>
          <w:snapToGrid w:val="0"/>
          <w:color w:val="auto"/>
          <w:spacing w:val="3"/>
          <w:kern w:val="0"/>
          <w:sz w:val="32"/>
          <w:szCs w:val="32"/>
          <w:lang w:val="en-US" w:eastAsia="zh-CN"/>
        </w:rPr>
        <w:t>第一节</w:t>
      </w:r>
      <w:bookmarkEnd w:id="66"/>
      <w:bookmarkEnd w:id="67"/>
      <w:r>
        <w:rPr>
          <w:rFonts w:hint="eastAsia" w:ascii="方正楷体简体" w:hAnsi="方正楷体简体" w:eastAsia="方正楷体简体" w:cs="方正楷体简体"/>
          <w:b/>
          <w:bCs/>
          <w:snapToGrid w:val="0"/>
          <w:color w:val="auto"/>
          <w:spacing w:val="3"/>
          <w:kern w:val="0"/>
          <w:sz w:val="32"/>
          <w:szCs w:val="32"/>
          <w:lang w:val="en-US" w:eastAsia="zh-CN"/>
        </w:rPr>
        <w:t xml:space="preserve">  墨玉县综合应急指挥中心建设项目</w:t>
      </w:r>
      <w:bookmarkEnd w:id="68"/>
    </w:p>
    <w:p w14:paraId="40DFBE72">
      <w:pPr>
        <w:keepNext w:val="0"/>
        <w:keepLines w:val="0"/>
        <w:pageBreakBefore w:val="0"/>
        <w:widowControl/>
        <w:kinsoku w:val="0"/>
        <w:wordWrap/>
        <w:overflowPunct/>
        <w:topLinePunct w:val="0"/>
        <w:autoSpaceDE w:val="0"/>
        <w:autoSpaceDN w:val="0"/>
        <w:bidi w:val="0"/>
        <w:adjustRightInd w:val="0"/>
        <w:snapToGrid w:val="0"/>
        <w:spacing w:afterAutospacing="0" w:line="576" w:lineRule="exact"/>
        <w:ind w:left="0" w:right="0" w:firstLine="696"/>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根据</w:t>
      </w:r>
      <w:r>
        <w:rPr>
          <w:rFonts w:hint="default" w:ascii="Times New Roman" w:hAnsi="Times New Roman" w:eastAsia="仿宋_GB2312" w:cs="Times New Roman"/>
          <w:snapToGrid w:val="0"/>
          <w:color w:val="auto"/>
          <w:spacing w:val="13"/>
          <w:kern w:val="0"/>
          <w:sz w:val="32"/>
          <w:szCs w:val="32"/>
          <w:lang w:val="en-US" w:eastAsia="zh-CN"/>
        </w:rPr>
        <w:t>2026</w:t>
      </w:r>
      <w:r>
        <w:rPr>
          <w:rFonts w:hint="eastAsia" w:ascii="仿宋_GB2312" w:hAnsi="仿宋_GB2312" w:eastAsia="仿宋_GB2312" w:cs="仿宋_GB2312"/>
          <w:snapToGrid w:val="0"/>
          <w:color w:val="auto"/>
          <w:spacing w:val="13"/>
          <w:kern w:val="0"/>
          <w:sz w:val="32"/>
          <w:szCs w:val="32"/>
          <w:lang w:val="en-US" w:eastAsia="zh-CN"/>
        </w:rPr>
        <w:t>年</w:t>
      </w:r>
      <w:r>
        <w:rPr>
          <w:rFonts w:hint="default" w:ascii="Times New Roman" w:hAnsi="Times New Roman" w:eastAsia="仿宋_GB2312" w:cs="Times New Roman"/>
          <w:snapToGrid w:val="0"/>
          <w:color w:val="auto"/>
          <w:spacing w:val="13"/>
          <w:kern w:val="0"/>
          <w:sz w:val="32"/>
          <w:szCs w:val="32"/>
          <w:lang w:val="en-US" w:eastAsia="zh-CN"/>
        </w:rPr>
        <w:t>1</w:t>
      </w:r>
      <w:r>
        <w:rPr>
          <w:rFonts w:hint="eastAsia" w:ascii="仿宋_GB2312" w:hAnsi="仿宋_GB2312" w:eastAsia="仿宋_GB2312" w:cs="仿宋_GB2312"/>
          <w:snapToGrid w:val="0"/>
          <w:color w:val="auto"/>
          <w:spacing w:val="13"/>
          <w:kern w:val="0"/>
          <w:sz w:val="32"/>
          <w:szCs w:val="32"/>
          <w:lang w:val="en-US" w:eastAsia="zh-CN"/>
        </w:rPr>
        <w:t>月召开的自治区应急管理工作会议要求，在“十五五”开局之年，要健全完善大安全大应急框架下应急指挥体系，综合应急指挥中心建设项目是应急管理体系完善在县域层面“落地成事”的关键工程。以“信息化引领、数字化赋能、智能化驱动”为主线，着力构建墨玉县“统一指挥、专常兼备、反应灵敏、上下联动、平战结合”的县域应急指挥体系。</w:t>
      </w:r>
    </w:p>
    <w:p w14:paraId="7FEB350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20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综合应急指挥中心建设项目拟建在外环西路消防站旁，建设年限为</w:t>
      </w:r>
      <w:r>
        <w:rPr>
          <w:rFonts w:hint="default" w:ascii="Times New Roman" w:hAnsi="Times New Roman" w:eastAsia="仿宋_GB2312" w:cs="Times New Roman"/>
          <w:snapToGrid w:val="0"/>
          <w:color w:val="auto"/>
          <w:spacing w:val="13"/>
          <w:kern w:val="0"/>
          <w:sz w:val="32"/>
          <w:szCs w:val="32"/>
          <w:lang w:val="en-US" w:eastAsia="zh-CN"/>
        </w:rPr>
        <w:t>2027</w:t>
      </w:r>
      <w:r>
        <w:rPr>
          <w:rFonts w:hint="eastAsia" w:ascii="仿宋_GB2312" w:hAnsi="仿宋_GB2312" w:eastAsia="仿宋_GB2312" w:cs="仿宋_GB2312"/>
          <w:snapToGrid w:val="0"/>
          <w:color w:val="auto"/>
          <w:spacing w:val="13"/>
          <w:kern w:val="0"/>
          <w:sz w:val="32"/>
          <w:szCs w:val="32"/>
          <w:lang w:val="en-US" w:eastAsia="zh-CN"/>
        </w:rPr>
        <w:t>年，拟投资金额为</w:t>
      </w:r>
      <w:r>
        <w:rPr>
          <w:rFonts w:hint="eastAsia" w:ascii="Times New Roman" w:hAnsi="Times New Roman" w:eastAsia="仿宋_GB2312" w:cs="Times New Roman"/>
          <w:snapToGrid w:val="0"/>
          <w:color w:val="auto"/>
          <w:spacing w:val="13"/>
          <w:kern w:val="0"/>
          <w:sz w:val="32"/>
          <w:szCs w:val="32"/>
          <w:lang w:val="en-US" w:eastAsia="zh-CN"/>
        </w:rPr>
        <w:t>7000</w:t>
      </w:r>
      <w:r>
        <w:rPr>
          <w:rFonts w:hint="eastAsia" w:ascii="仿宋_GB2312" w:hAnsi="仿宋_GB2312" w:eastAsia="仿宋_GB2312" w:cs="仿宋_GB2312"/>
          <w:snapToGrid w:val="0"/>
          <w:color w:val="auto"/>
          <w:spacing w:val="13"/>
          <w:kern w:val="0"/>
          <w:sz w:val="32"/>
          <w:szCs w:val="32"/>
          <w:lang w:val="en-US" w:eastAsia="zh-CN"/>
        </w:rPr>
        <w:t>万元，资金来源拟为超长期国债。参照已发布的自治区、地区级《应急指挥中心基础设施与支撑系统建设规范》等标准，结合县情适当“下调量级、保持结构”，本中心将融合应急值守、信息接报、监测预警、会商决策、指挥调度、实时监控、物资保障、处置救援、社会动员、综合协调、统计分析、应急宣传科普基地等功能。进一步完善应急指挥基础设施建设，包括指挥大厅、联动值守与会商区、通信机房与支撑用房及室外工程，建设支撑业务开展的显示大屏、音视频、视频会议、网络传输等配套设施，以及数据资源与平台系统、指挥调度与联动协同平台、应急大数据与辅助决策系统、公众服务与信息发布平台、安全与运维保障体系等支撑平台。</w:t>
      </w:r>
    </w:p>
    <w:p w14:paraId="73F6DA4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20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应急宣传科普基地建设将包括人民防空、交通安全、消防安全、社会治安、用电安全、自然灾害、卫生健康知识、生产生活安全和地震体验等九个主要板块进行集成，面积约</w:t>
      </w:r>
      <w:r>
        <w:rPr>
          <w:rFonts w:hint="eastAsia" w:ascii="Times New Roman" w:hAnsi="Times New Roman" w:eastAsia="仿宋_GB2312" w:cs="Times New Roman"/>
          <w:snapToGrid w:val="0"/>
          <w:color w:val="auto"/>
          <w:spacing w:val="13"/>
          <w:kern w:val="0"/>
          <w:sz w:val="32"/>
          <w:szCs w:val="32"/>
          <w:lang w:val="en-US" w:eastAsia="zh-CN"/>
        </w:rPr>
        <w:t>1000平方米</w:t>
      </w:r>
      <w:r>
        <w:rPr>
          <w:rFonts w:hint="eastAsia" w:ascii="仿宋_GB2312" w:hAnsi="仿宋_GB2312" w:eastAsia="仿宋_GB2312" w:cs="仿宋_GB2312"/>
          <w:snapToGrid w:val="0"/>
          <w:color w:val="auto"/>
          <w:spacing w:val="13"/>
          <w:kern w:val="0"/>
          <w:sz w:val="32"/>
          <w:szCs w:val="32"/>
          <w:lang w:val="en-US" w:eastAsia="zh-CN"/>
        </w:rPr>
        <w:t>，通过互动体验、模拟演练等形式系统提升市民安全意识和应急能力。</w:t>
      </w:r>
    </w:p>
    <w:p w14:paraId="7F5BF52F">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jc w:val="center"/>
        <w:textAlignment w:val="baseline"/>
        <w:outlineLvl w:val="1"/>
        <w:rPr>
          <w:rFonts w:hint="eastAsia" w:ascii="楷体" w:hAnsi="楷体" w:eastAsia="楷体" w:cs="楷体"/>
          <w:b/>
          <w:bCs/>
          <w:snapToGrid w:val="0"/>
          <w:color w:val="auto"/>
          <w:spacing w:val="9"/>
          <w:kern w:val="0"/>
          <w:sz w:val="32"/>
          <w:szCs w:val="32"/>
          <w:lang w:val="en-US" w:eastAsia="zh-CN" w:bidi="ar-SA"/>
        </w:rPr>
      </w:pPr>
      <w:bookmarkStart w:id="69" w:name="_Toc7448"/>
      <w:bookmarkStart w:id="70" w:name="_Toc18174"/>
      <w:bookmarkStart w:id="71" w:name="_Toc24103"/>
      <w:r>
        <w:rPr>
          <w:rFonts w:hint="eastAsia" w:ascii="方正楷体简体" w:hAnsi="方正楷体简体" w:eastAsia="方正楷体简体" w:cs="方正楷体简体"/>
          <w:b/>
          <w:bCs/>
          <w:snapToGrid w:val="0"/>
          <w:color w:val="auto"/>
          <w:spacing w:val="3"/>
          <w:kern w:val="0"/>
          <w:sz w:val="32"/>
          <w:szCs w:val="32"/>
          <w:lang w:val="en-US" w:eastAsia="zh-CN"/>
        </w:rPr>
        <w:t>第二节</w:t>
      </w:r>
      <w:bookmarkEnd w:id="69"/>
      <w:bookmarkEnd w:id="70"/>
      <w:bookmarkEnd w:id="71"/>
      <w:bookmarkStart w:id="72" w:name="_Toc15691"/>
      <w:bookmarkStart w:id="73" w:name="_Toc14583"/>
      <w:bookmarkStart w:id="74" w:name="_Toc14512"/>
      <w:r>
        <w:rPr>
          <w:rFonts w:hint="eastAsia" w:ascii="方正楷体简体" w:hAnsi="方正楷体简体" w:eastAsia="方正楷体简体" w:cs="方正楷体简体"/>
          <w:b/>
          <w:bCs/>
          <w:snapToGrid w:val="0"/>
          <w:color w:val="auto"/>
          <w:spacing w:val="3"/>
          <w:kern w:val="0"/>
          <w:sz w:val="32"/>
          <w:szCs w:val="32"/>
          <w:lang w:val="en-US" w:eastAsia="zh-CN"/>
        </w:rPr>
        <w:t xml:space="preserve">  墨玉县综合防灾减灾建设项目</w:t>
      </w:r>
      <w:bookmarkEnd w:id="72"/>
      <w:bookmarkEnd w:id="73"/>
      <w:bookmarkEnd w:id="74"/>
    </w:p>
    <w:p w14:paraId="3C8FEDD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6"/>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党的二十届四中全会通过的《中共中央关于制定国民经济和社会发展第十五个五年规划的建议》，对提高防灾减灾救灾能力作出进一步部署，在“十五五”规划纲要及相关专项规划中，要谋划部署一批自然灾害防治重点工程项目，并持续加大投入。要树立应急准备也是防的观念，全面防备各类突如其来的重大灾害，更加彰显中国式救援的能力和高效。</w:t>
      </w:r>
    </w:p>
    <w:p w14:paraId="30F7B83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bookmarkStart w:id="75" w:name="_Toc7963"/>
      <w:bookmarkStart w:id="76" w:name="_Toc21717"/>
      <w:r>
        <w:rPr>
          <w:rFonts w:hint="eastAsia" w:ascii="仿宋_GB2312" w:hAnsi="仿宋_GB2312" w:eastAsia="仿宋_GB2312" w:cs="仿宋_GB2312"/>
          <w:snapToGrid w:val="0"/>
          <w:color w:val="auto"/>
          <w:spacing w:val="13"/>
          <w:kern w:val="0"/>
          <w:sz w:val="32"/>
          <w:szCs w:val="32"/>
          <w:lang w:val="en-US" w:eastAsia="zh-CN"/>
        </w:rPr>
        <w:t>我县拟在“十五五”期间重点进行</w:t>
      </w:r>
      <w:r>
        <w:rPr>
          <w:rFonts w:hint="default" w:ascii="Times New Roman" w:hAnsi="Times New Roman" w:eastAsia="仿宋_GB2312" w:cs="Times New Roman"/>
          <w:snapToGrid w:val="0"/>
          <w:color w:val="auto"/>
          <w:spacing w:val="13"/>
          <w:kern w:val="0"/>
          <w:sz w:val="32"/>
          <w:szCs w:val="32"/>
          <w:lang w:val="en-US" w:eastAsia="zh-CN"/>
        </w:rPr>
        <w:t>2</w:t>
      </w:r>
      <w:r>
        <w:rPr>
          <w:rFonts w:hint="eastAsia" w:ascii="仿宋_GB2312" w:hAnsi="仿宋_GB2312" w:eastAsia="仿宋_GB2312" w:cs="仿宋_GB2312"/>
          <w:snapToGrid w:val="0"/>
          <w:color w:val="auto"/>
          <w:spacing w:val="13"/>
          <w:kern w:val="0"/>
          <w:sz w:val="32"/>
          <w:szCs w:val="32"/>
          <w:lang w:val="en-US" w:eastAsia="zh-CN"/>
        </w:rPr>
        <w:t>项防灾减灾项目建设。</w:t>
      </w:r>
    </w:p>
    <w:p w14:paraId="6480160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692" w:firstLineChars="20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一是防灾减灾救灾能力提升项目，项目总投资</w:t>
      </w:r>
      <w:r>
        <w:rPr>
          <w:rFonts w:hint="eastAsia" w:ascii="Times New Roman" w:hAnsi="Times New Roman" w:eastAsia="仿宋_GB2312" w:cs="Times New Roman"/>
          <w:snapToGrid w:val="0"/>
          <w:color w:val="auto"/>
          <w:spacing w:val="13"/>
          <w:kern w:val="0"/>
          <w:sz w:val="32"/>
          <w:szCs w:val="32"/>
          <w:lang w:val="en-US" w:eastAsia="zh-CN"/>
        </w:rPr>
        <w:t>1250</w:t>
      </w:r>
      <w:r>
        <w:rPr>
          <w:rFonts w:hint="eastAsia" w:ascii="仿宋_GB2312" w:hAnsi="仿宋_GB2312" w:eastAsia="仿宋_GB2312" w:cs="仿宋_GB2312"/>
          <w:snapToGrid w:val="0"/>
          <w:color w:val="auto"/>
          <w:spacing w:val="13"/>
          <w:kern w:val="0"/>
          <w:sz w:val="32"/>
          <w:szCs w:val="32"/>
          <w:lang w:val="en-US" w:eastAsia="zh-CN"/>
        </w:rPr>
        <w:t>万元，项目资金来源由两部分组成，其中一般债券</w:t>
      </w:r>
      <w:r>
        <w:rPr>
          <w:rFonts w:hint="eastAsia" w:ascii="Times New Roman" w:hAnsi="Times New Roman" w:eastAsia="仿宋_GB2312" w:cs="Times New Roman"/>
          <w:snapToGrid w:val="0"/>
          <w:color w:val="auto"/>
          <w:spacing w:val="13"/>
          <w:kern w:val="0"/>
          <w:sz w:val="32"/>
          <w:szCs w:val="32"/>
          <w:lang w:val="en-US" w:eastAsia="zh-CN"/>
        </w:rPr>
        <w:t>1000</w:t>
      </w:r>
      <w:r>
        <w:rPr>
          <w:rFonts w:hint="eastAsia" w:ascii="仿宋_GB2312" w:hAnsi="仿宋_GB2312" w:eastAsia="仿宋_GB2312" w:cs="仿宋_GB2312"/>
          <w:snapToGrid w:val="0"/>
          <w:color w:val="auto"/>
          <w:spacing w:val="13"/>
          <w:kern w:val="0"/>
          <w:sz w:val="32"/>
          <w:szCs w:val="32"/>
          <w:lang w:val="en-US" w:eastAsia="zh-CN"/>
        </w:rPr>
        <w:t>万元，其他资金</w:t>
      </w:r>
      <w:r>
        <w:rPr>
          <w:rFonts w:hint="eastAsia" w:ascii="Times New Roman" w:hAnsi="Times New Roman" w:eastAsia="仿宋_GB2312" w:cs="Times New Roman"/>
          <w:snapToGrid w:val="0"/>
          <w:color w:val="auto"/>
          <w:spacing w:val="13"/>
          <w:kern w:val="0"/>
          <w:sz w:val="32"/>
          <w:szCs w:val="32"/>
          <w:lang w:val="en-US" w:eastAsia="zh-CN"/>
        </w:rPr>
        <w:t>250</w:t>
      </w:r>
      <w:r>
        <w:rPr>
          <w:rFonts w:hint="eastAsia" w:ascii="仿宋_GB2312" w:hAnsi="仿宋_GB2312" w:eastAsia="仿宋_GB2312" w:cs="仿宋_GB2312"/>
          <w:snapToGrid w:val="0"/>
          <w:color w:val="auto"/>
          <w:spacing w:val="13"/>
          <w:kern w:val="0"/>
          <w:sz w:val="32"/>
          <w:szCs w:val="32"/>
          <w:lang w:val="en-US" w:eastAsia="zh-CN"/>
        </w:rPr>
        <w:t>万元，计划实施年限为</w:t>
      </w:r>
      <w:r>
        <w:rPr>
          <w:rFonts w:hint="eastAsia" w:ascii="Times New Roman" w:hAnsi="Times New Roman" w:eastAsia="仿宋_GB2312" w:cs="Times New Roman"/>
          <w:snapToGrid w:val="0"/>
          <w:color w:val="auto"/>
          <w:spacing w:val="13"/>
          <w:kern w:val="0"/>
          <w:sz w:val="32"/>
          <w:szCs w:val="32"/>
          <w:lang w:val="en-US" w:eastAsia="zh-CN"/>
        </w:rPr>
        <w:t>2026</w:t>
      </w:r>
      <w:r>
        <w:rPr>
          <w:rFonts w:hint="eastAsia" w:ascii="仿宋_GB2312" w:hAnsi="仿宋_GB2312" w:eastAsia="仿宋_GB2312" w:cs="仿宋_GB2312"/>
          <w:snapToGrid w:val="0"/>
          <w:color w:val="auto"/>
          <w:spacing w:val="13"/>
          <w:kern w:val="0"/>
          <w:sz w:val="32"/>
          <w:szCs w:val="32"/>
          <w:lang w:val="en-US" w:eastAsia="zh-CN"/>
        </w:rPr>
        <w:t>年。项目内容包括：（</w:t>
      </w:r>
      <w:r>
        <w:rPr>
          <w:rFonts w:hint="default" w:ascii="Times New Roman" w:hAnsi="Times New Roman" w:eastAsia="仿宋_GB2312" w:cs="Times New Roman"/>
          <w:snapToGrid w:val="0"/>
          <w:color w:val="auto"/>
          <w:spacing w:val="13"/>
          <w:kern w:val="0"/>
          <w:sz w:val="32"/>
          <w:szCs w:val="32"/>
          <w:lang w:val="en-US" w:eastAsia="zh-CN"/>
        </w:rPr>
        <w:t>1</w:t>
      </w:r>
      <w:r>
        <w:rPr>
          <w:rFonts w:hint="eastAsia" w:ascii="Times New Roman" w:hAnsi="Times New Roman" w:eastAsia="仿宋_GB2312" w:cs="Times New Roman"/>
          <w:snapToGrid w:val="0"/>
          <w:color w:val="auto"/>
          <w:spacing w:val="13"/>
          <w:kern w:val="0"/>
          <w:sz w:val="32"/>
          <w:szCs w:val="32"/>
          <w:lang w:val="en-US" w:eastAsia="zh-CN"/>
        </w:rPr>
        <w:t>）</w:t>
      </w:r>
      <w:r>
        <w:rPr>
          <w:rFonts w:hint="eastAsia" w:ascii="仿宋_GB2312" w:hAnsi="仿宋_GB2312" w:eastAsia="仿宋_GB2312" w:cs="仿宋_GB2312"/>
          <w:snapToGrid w:val="0"/>
          <w:color w:val="auto"/>
          <w:spacing w:val="13"/>
          <w:kern w:val="0"/>
          <w:sz w:val="32"/>
          <w:szCs w:val="32"/>
          <w:lang w:val="en-US" w:eastAsia="zh-CN"/>
        </w:rPr>
        <w:t>采购安装地震预警终端、应急喇叭、卫星电话等预警设备；（</w:t>
      </w:r>
      <w:r>
        <w:rPr>
          <w:rFonts w:hint="eastAsia" w:ascii="Times New Roman" w:hAnsi="Times New Roman" w:eastAsia="仿宋_GB2312" w:cs="Times New Roman"/>
          <w:snapToGrid w:val="0"/>
          <w:color w:val="auto"/>
          <w:spacing w:val="13"/>
          <w:kern w:val="0"/>
          <w:sz w:val="32"/>
          <w:szCs w:val="32"/>
          <w:lang w:val="en-US" w:eastAsia="zh-CN"/>
        </w:rPr>
        <w:t>2）</w:t>
      </w:r>
      <w:r>
        <w:rPr>
          <w:rFonts w:hint="eastAsia" w:ascii="仿宋_GB2312" w:hAnsi="仿宋_GB2312" w:eastAsia="仿宋_GB2312" w:cs="仿宋_GB2312"/>
          <w:snapToGrid w:val="0"/>
          <w:color w:val="auto"/>
          <w:spacing w:val="13"/>
          <w:kern w:val="0"/>
          <w:sz w:val="32"/>
          <w:szCs w:val="32"/>
          <w:lang w:val="en-US" w:eastAsia="zh-CN"/>
        </w:rPr>
        <w:t>采购棉被帐篷、棉大衣、折叠床、取暖设备等救灾物资；（</w:t>
      </w:r>
      <w:r>
        <w:rPr>
          <w:rFonts w:hint="eastAsia" w:ascii="Times New Roman" w:hAnsi="Times New Roman" w:eastAsia="仿宋_GB2312" w:cs="Times New Roman"/>
          <w:snapToGrid w:val="0"/>
          <w:color w:val="auto"/>
          <w:spacing w:val="13"/>
          <w:kern w:val="0"/>
          <w:sz w:val="32"/>
          <w:szCs w:val="32"/>
          <w:lang w:val="en-US" w:eastAsia="zh-CN"/>
        </w:rPr>
        <w:t>3）</w:t>
      </w:r>
      <w:r>
        <w:rPr>
          <w:rFonts w:hint="eastAsia" w:ascii="仿宋_GB2312" w:hAnsi="仿宋_GB2312" w:eastAsia="仿宋_GB2312" w:cs="仿宋_GB2312"/>
          <w:snapToGrid w:val="0"/>
          <w:color w:val="auto"/>
          <w:spacing w:val="13"/>
          <w:kern w:val="0"/>
          <w:sz w:val="32"/>
          <w:szCs w:val="32"/>
          <w:lang w:val="en-US" w:eastAsia="zh-CN"/>
        </w:rPr>
        <w:t>采购一辆应急通信指挥车、一辆便携应急救援车及配套设备。</w:t>
      </w:r>
    </w:p>
    <w:p w14:paraId="428A4FCB">
      <w:pPr>
        <w:keepNext w:val="0"/>
        <w:keepLines w:val="0"/>
        <w:pageBreakBefore w:val="0"/>
        <w:widowControl/>
        <w:kinsoku w:val="0"/>
        <w:wordWrap/>
        <w:overflowPunct/>
        <w:topLinePunct w:val="0"/>
        <w:autoSpaceDE w:val="0"/>
        <w:autoSpaceDN w:val="0"/>
        <w:bidi w:val="0"/>
        <w:adjustRightInd w:val="0"/>
        <w:snapToGrid w:val="0"/>
        <w:spacing w:afterAutospacing="0" w:line="560" w:lineRule="atLeast"/>
        <w:ind w:left="0" w:right="0" w:firstLine="696"/>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二是气象防灾减灾综合能力提升项目，项目总投资</w:t>
      </w:r>
      <w:r>
        <w:rPr>
          <w:rFonts w:hint="eastAsia" w:ascii="Times New Roman" w:hAnsi="Times New Roman" w:eastAsia="仿宋_GB2312" w:cs="Times New Roman"/>
          <w:snapToGrid w:val="0"/>
          <w:color w:val="auto"/>
          <w:spacing w:val="13"/>
          <w:kern w:val="0"/>
          <w:sz w:val="32"/>
          <w:szCs w:val="32"/>
          <w:lang w:val="en-US" w:eastAsia="zh-CN"/>
        </w:rPr>
        <w:t>2500</w:t>
      </w:r>
      <w:r>
        <w:rPr>
          <w:rFonts w:hint="eastAsia" w:ascii="仿宋_GB2312" w:hAnsi="仿宋_GB2312" w:eastAsia="仿宋_GB2312" w:cs="仿宋_GB2312"/>
          <w:snapToGrid w:val="0"/>
          <w:color w:val="auto"/>
          <w:spacing w:val="13"/>
          <w:kern w:val="0"/>
          <w:sz w:val="32"/>
          <w:szCs w:val="32"/>
          <w:lang w:val="en-US" w:eastAsia="zh-CN"/>
        </w:rPr>
        <w:t>万元，资金来源拟申报援疆资金，计划实施年限为</w:t>
      </w:r>
      <w:r>
        <w:rPr>
          <w:rFonts w:hint="eastAsia" w:ascii="Times New Roman" w:hAnsi="Times New Roman" w:eastAsia="仿宋_GB2312" w:cs="Times New Roman"/>
          <w:snapToGrid w:val="0"/>
          <w:color w:val="auto"/>
          <w:spacing w:val="13"/>
          <w:kern w:val="0"/>
          <w:sz w:val="32"/>
          <w:szCs w:val="32"/>
          <w:lang w:val="en-US" w:eastAsia="zh-CN"/>
        </w:rPr>
        <w:t>2028</w:t>
      </w:r>
      <w:r>
        <w:rPr>
          <w:rFonts w:hint="eastAsia" w:ascii="仿宋_GB2312" w:hAnsi="仿宋_GB2312" w:eastAsia="仿宋_GB2312" w:cs="仿宋_GB2312"/>
          <w:snapToGrid w:val="0"/>
          <w:color w:val="auto"/>
          <w:spacing w:val="13"/>
          <w:kern w:val="0"/>
          <w:sz w:val="32"/>
          <w:szCs w:val="32"/>
          <w:lang w:val="en-US" w:eastAsia="zh-CN"/>
        </w:rPr>
        <w:t>年。主要包括项目有：（</w:t>
      </w:r>
      <w:r>
        <w:rPr>
          <w:rFonts w:hint="default" w:ascii="Times New Roman" w:hAnsi="Times New Roman" w:eastAsia="仿宋_GB2312" w:cs="Times New Roman"/>
          <w:snapToGrid w:val="0"/>
          <w:color w:val="auto"/>
          <w:spacing w:val="13"/>
          <w:kern w:val="0"/>
          <w:sz w:val="32"/>
          <w:szCs w:val="32"/>
          <w:lang w:val="en-US" w:eastAsia="zh-CN"/>
        </w:rPr>
        <w:t>1</w:t>
      </w:r>
      <w:r>
        <w:rPr>
          <w:rFonts w:hint="eastAsia" w:ascii="Times New Roman" w:hAnsi="Times New Roman" w:eastAsia="仿宋_GB2312" w:cs="Times New Roman"/>
          <w:snapToGrid w:val="0"/>
          <w:color w:val="auto"/>
          <w:spacing w:val="13"/>
          <w:kern w:val="0"/>
          <w:sz w:val="32"/>
          <w:szCs w:val="32"/>
          <w:lang w:val="en-US" w:eastAsia="zh-CN"/>
        </w:rPr>
        <w:t>）</w:t>
      </w:r>
      <w:r>
        <w:rPr>
          <w:rFonts w:hint="eastAsia" w:ascii="仿宋_GB2312" w:hAnsi="仿宋_GB2312" w:eastAsia="仿宋_GB2312" w:cs="仿宋_GB2312"/>
          <w:snapToGrid w:val="0"/>
          <w:color w:val="auto"/>
          <w:spacing w:val="13"/>
          <w:kern w:val="0"/>
          <w:sz w:val="32"/>
          <w:szCs w:val="32"/>
          <w:lang w:val="en-US" w:eastAsia="zh-CN"/>
        </w:rPr>
        <w:t>加密区域自动气象站建设。（</w:t>
      </w:r>
      <w:r>
        <w:rPr>
          <w:rFonts w:hint="eastAsia" w:ascii="Times New Roman" w:hAnsi="Times New Roman" w:eastAsia="仿宋_GB2312" w:cs="Times New Roman"/>
          <w:snapToGrid w:val="0"/>
          <w:color w:val="auto"/>
          <w:spacing w:val="13"/>
          <w:kern w:val="0"/>
          <w:sz w:val="32"/>
          <w:szCs w:val="32"/>
          <w:lang w:val="en-US" w:eastAsia="zh-CN"/>
        </w:rPr>
        <w:t>2）</w:t>
      </w:r>
      <w:r>
        <w:rPr>
          <w:rFonts w:hint="eastAsia" w:ascii="仿宋_GB2312" w:hAnsi="仿宋_GB2312" w:eastAsia="仿宋_GB2312" w:cs="仿宋_GB2312"/>
          <w:snapToGrid w:val="0"/>
          <w:color w:val="auto"/>
          <w:spacing w:val="13"/>
          <w:kern w:val="0"/>
          <w:sz w:val="32"/>
          <w:szCs w:val="32"/>
          <w:lang w:val="en-US" w:eastAsia="zh-CN"/>
        </w:rPr>
        <w:t>增设能见度观测仪。（</w:t>
      </w:r>
      <w:r>
        <w:rPr>
          <w:rFonts w:hint="eastAsia" w:ascii="Times New Roman" w:hAnsi="Times New Roman" w:eastAsia="仿宋_GB2312" w:cs="Times New Roman"/>
          <w:snapToGrid w:val="0"/>
          <w:color w:val="auto"/>
          <w:spacing w:val="13"/>
          <w:kern w:val="0"/>
          <w:sz w:val="32"/>
          <w:szCs w:val="32"/>
          <w:lang w:val="en-US" w:eastAsia="zh-CN"/>
        </w:rPr>
        <w:t>3）</w:t>
      </w:r>
      <w:r>
        <w:rPr>
          <w:rFonts w:hint="eastAsia" w:ascii="仿宋_GB2312" w:hAnsi="仿宋_GB2312" w:eastAsia="仿宋_GB2312" w:cs="仿宋_GB2312"/>
          <w:snapToGrid w:val="0"/>
          <w:color w:val="auto"/>
          <w:spacing w:val="13"/>
          <w:kern w:val="0"/>
          <w:sz w:val="32"/>
          <w:szCs w:val="32"/>
          <w:lang w:val="en-US" w:eastAsia="zh-CN"/>
        </w:rPr>
        <w:t>建设交通道路特色气象自动站。</w:t>
      </w:r>
    </w:p>
    <w:p w14:paraId="2649BE24">
      <w:pPr>
        <w:keepNext w:val="0"/>
        <w:keepLines w:val="0"/>
        <w:pageBreakBefore w:val="0"/>
        <w:widowControl/>
        <w:kinsoku w:val="0"/>
        <w:wordWrap/>
        <w:overflowPunct/>
        <w:topLinePunct w:val="0"/>
        <w:autoSpaceDE w:val="0"/>
        <w:autoSpaceDN w:val="0"/>
        <w:bidi w:val="0"/>
        <w:adjustRightInd w:val="0"/>
        <w:snapToGrid w:val="0"/>
        <w:spacing w:afterAutospacing="0" w:line="560" w:lineRule="atLeast"/>
        <w:ind w:left="0" w:right="0" w:firstLine="696"/>
        <w:jc w:val="center"/>
        <w:textAlignment w:val="baseline"/>
        <w:rPr>
          <w:rFonts w:hint="default" w:ascii="方正楷体简体" w:hAnsi="方正楷体简体" w:eastAsia="方正楷体简体" w:cs="方正楷体简体"/>
          <w:b/>
          <w:bCs/>
          <w:snapToGrid w:val="0"/>
          <w:color w:val="auto"/>
          <w:spacing w:val="3"/>
          <w:kern w:val="0"/>
          <w:sz w:val="32"/>
          <w:szCs w:val="32"/>
          <w:lang w:val="en-US" w:eastAsia="zh-CN" w:bidi="ar-SA"/>
        </w:rPr>
      </w:pPr>
      <w:r>
        <w:rPr>
          <w:rFonts w:hint="eastAsia" w:ascii="方正楷体简体" w:hAnsi="方正楷体简体" w:eastAsia="方正楷体简体" w:cs="方正楷体简体"/>
          <w:b/>
          <w:bCs/>
          <w:snapToGrid w:val="0"/>
          <w:color w:val="auto"/>
          <w:spacing w:val="3"/>
          <w:kern w:val="0"/>
          <w:sz w:val="32"/>
          <w:szCs w:val="32"/>
          <w:lang w:val="en-US" w:eastAsia="zh-CN" w:bidi="ar-SA"/>
        </w:rPr>
        <w:t>第三节  墨玉县安全生产建设项目</w:t>
      </w:r>
    </w:p>
    <w:p w14:paraId="09060787">
      <w:pPr>
        <w:keepNext w:val="0"/>
        <w:keepLines w:val="0"/>
        <w:pageBreakBefore w:val="0"/>
        <w:widowControl/>
        <w:kinsoku w:val="0"/>
        <w:wordWrap/>
        <w:overflowPunct/>
        <w:topLinePunct w:val="0"/>
        <w:autoSpaceDE w:val="0"/>
        <w:autoSpaceDN w:val="0"/>
        <w:bidi w:val="0"/>
        <w:adjustRightInd w:val="0"/>
        <w:snapToGrid w:val="0"/>
        <w:spacing w:afterAutospacing="0" w:line="560" w:lineRule="atLeast"/>
        <w:ind w:left="0" w:right="0" w:firstLine="696"/>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对于生产安全事故救援中应急物资储备不足、技术支撑不力等安全隐患，易增加人员伤亡数量、财产损失，影响正常生产运营。为有效救援各类生产安全事故，筑牢安全生产防线，我县在“十五五”期间拟进行应急物资储备项目建设。该项目总投资为</w:t>
      </w:r>
      <w:r>
        <w:rPr>
          <w:rFonts w:hint="default" w:ascii="Times New Roman" w:hAnsi="Times New Roman" w:eastAsia="仿宋_GB2312" w:cs="Times New Roman"/>
          <w:snapToGrid w:val="0"/>
          <w:color w:val="auto"/>
          <w:spacing w:val="13"/>
          <w:kern w:val="0"/>
          <w:sz w:val="32"/>
          <w:szCs w:val="32"/>
          <w:lang w:val="en-US" w:eastAsia="zh-CN"/>
        </w:rPr>
        <w:t>2000</w:t>
      </w:r>
      <w:r>
        <w:rPr>
          <w:rFonts w:hint="eastAsia" w:ascii="仿宋_GB2312" w:hAnsi="仿宋_GB2312" w:eastAsia="仿宋_GB2312" w:cs="仿宋_GB2312"/>
          <w:snapToGrid w:val="0"/>
          <w:color w:val="auto"/>
          <w:spacing w:val="13"/>
          <w:kern w:val="0"/>
          <w:sz w:val="32"/>
          <w:szCs w:val="32"/>
          <w:lang w:val="en-US" w:eastAsia="zh-CN"/>
        </w:rPr>
        <w:t>万元，拟申请援疆资金，计划建设年限为</w:t>
      </w:r>
      <w:r>
        <w:rPr>
          <w:rFonts w:hint="eastAsia" w:ascii="Times New Roman" w:hAnsi="Times New Roman" w:eastAsia="仿宋_GB2312" w:cs="Times New Roman"/>
          <w:snapToGrid w:val="0"/>
          <w:color w:val="auto"/>
          <w:spacing w:val="13"/>
          <w:kern w:val="0"/>
          <w:sz w:val="32"/>
          <w:szCs w:val="32"/>
          <w:lang w:val="en-US" w:eastAsia="zh-CN"/>
        </w:rPr>
        <w:t>2029</w:t>
      </w:r>
      <w:r>
        <w:rPr>
          <w:rFonts w:hint="eastAsia" w:ascii="仿宋_GB2312" w:hAnsi="仿宋_GB2312" w:eastAsia="仿宋_GB2312" w:cs="仿宋_GB2312"/>
          <w:snapToGrid w:val="0"/>
          <w:color w:val="auto"/>
          <w:spacing w:val="13"/>
          <w:kern w:val="0"/>
          <w:sz w:val="32"/>
          <w:szCs w:val="32"/>
          <w:lang w:val="en-US" w:eastAsia="zh-CN"/>
        </w:rPr>
        <w:t>年。项目拟建设应急救灾物资库房建筑面积</w:t>
      </w:r>
      <w:r>
        <w:rPr>
          <w:rFonts w:hint="eastAsia" w:ascii="Times New Roman" w:hAnsi="Times New Roman" w:eastAsia="仿宋_GB2312" w:cs="Times New Roman"/>
          <w:snapToGrid w:val="0"/>
          <w:color w:val="auto"/>
          <w:spacing w:val="13"/>
          <w:kern w:val="0"/>
          <w:sz w:val="32"/>
          <w:szCs w:val="32"/>
          <w:lang w:val="en-US" w:eastAsia="zh-CN"/>
        </w:rPr>
        <w:t>3000平方米</w:t>
      </w:r>
      <w:r>
        <w:rPr>
          <w:rFonts w:hint="eastAsia" w:ascii="仿宋_GB2312" w:hAnsi="仿宋_GB2312" w:eastAsia="仿宋_GB2312" w:cs="仿宋_GB2312"/>
          <w:snapToGrid w:val="0"/>
          <w:color w:val="auto"/>
          <w:spacing w:val="13"/>
          <w:kern w:val="0"/>
          <w:sz w:val="32"/>
          <w:szCs w:val="32"/>
          <w:lang w:val="en-US" w:eastAsia="zh-CN"/>
        </w:rPr>
        <w:t>，包括物资储备库及辅助用房、管理用房、附属用房等建设；室外附属工程；购置各类救灾物资及储备库相关设备等。</w:t>
      </w:r>
    </w:p>
    <w:p w14:paraId="0309C229">
      <w:pPr>
        <w:pStyle w:val="20"/>
        <w:keepNext w:val="0"/>
        <w:keepLines w:val="0"/>
        <w:pageBreakBefore w:val="0"/>
        <w:widowControl w:val="0"/>
        <w:numPr>
          <w:ilvl w:val="0"/>
          <w:numId w:val="0"/>
        </w:numPr>
        <w:kinsoku/>
        <w:wordWrap/>
        <w:overflowPunct/>
        <w:topLinePunct w:val="0"/>
        <w:autoSpaceDE/>
        <w:autoSpaceDN/>
        <w:bidi w:val="0"/>
        <w:adjustRightInd/>
        <w:snapToGrid/>
        <w:spacing w:after="0" w:afterAutospacing="0" w:line="560" w:lineRule="exact"/>
        <w:ind w:right="0"/>
        <w:jc w:val="center"/>
        <w:textAlignment w:val="auto"/>
        <w:outlineLvl w:val="0"/>
        <w:rPr>
          <w:rFonts w:hint="default" w:ascii="方正楷体简体" w:hAnsi="方正楷体简体" w:eastAsia="方正楷体简体" w:cs="方正楷体简体"/>
          <w:b/>
          <w:bCs/>
          <w:snapToGrid w:val="0"/>
          <w:color w:val="auto"/>
          <w:spacing w:val="3"/>
          <w:kern w:val="0"/>
          <w:sz w:val="32"/>
          <w:szCs w:val="32"/>
          <w:lang w:val="en-US" w:eastAsia="zh-CN" w:bidi="ar-SA"/>
        </w:rPr>
      </w:pPr>
      <w:r>
        <w:rPr>
          <w:rFonts w:hint="eastAsia" w:ascii="楷体" w:hAnsi="楷体" w:eastAsia="楷体" w:cs="楷体"/>
          <w:b w:val="0"/>
          <w:bCs w:val="0"/>
          <w:snapToGrid w:val="0"/>
          <w:color w:val="000000"/>
          <w:spacing w:val="3"/>
          <w:kern w:val="0"/>
          <w:sz w:val="32"/>
          <w:szCs w:val="32"/>
          <w:lang w:val="en-US" w:eastAsia="zh-CN" w:bidi="ar-SA"/>
        </w:rPr>
        <w:t xml:space="preserve">   </w:t>
      </w:r>
      <w:r>
        <w:rPr>
          <w:rFonts w:hint="eastAsia" w:ascii="方正楷体简体" w:hAnsi="方正楷体简体" w:eastAsia="方正楷体简体" w:cs="方正楷体简体"/>
          <w:b/>
          <w:bCs/>
          <w:snapToGrid w:val="0"/>
          <w:color w:val="auto"/>
          <w:spacing w:val="3"/>
          <w:kern w:val="0"/>
          <w:sz w:val="32"/>
          <w:szCs w:val="32"/>
          <w:lang w:val="en-US" w:eastAsia="zh-CN" w:bidi="ar-SA"/>
        </w:rPr>
        <w:t>第四节  应急平台前端感知设备数字化、智能化升级工程</w:t>
      </w:r>
    </w:p>
    <w:p w14:paraId="2CD662ED">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692" w:firstLineChars="200"/>
        <w:jc w:val="left"/>
        <w:textAlignment w:val="auto"/>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000000"/>
          <w:spacing w:val="13"/>
          <w:kern w:val="0"/>
          <w:sz w:val="32"/>
          <w:szCs w:val="32"/>
          <w:lang w:val="en-US" w:eastAsia="zh-CN" w:bidi="ar-SA"/>
        </w:rPr>
        <w:t>深化大数据、人工智能等技术融合应用，推动公共安全治理向事前预防转型，健全智慧应急体系，夯实全域监测预警、指挥调度、应急救援科技支撑，以高水平科技信息化保障县域应急管理体系和能力现代化，护航县域高质量发展。“十五五”期间拟重点建设应急平台前端感知设备数字化、智能化升级工程。本工程总金额</w:t>
      </w:r>
      <w:r>
        <w:rPr>
          <w:rFonts w:hint="default" w:ascii="Times New Roman" w:hAnsi="Times New Roman" w:eastAsia="仿宋_GB2312" w:cs="Times New Roman"/>
          <w:snapToGrid w:val="0"/>
          <w:color w:val="auto"/>
          <w:spacing w:val="13"/>
          <w:kern w:val="0"/>
          <w:sz w:val="32"/>
          <w:szCs w:val="32"/>
          <w:lang w:val="en-US" w:eastAsia="zh-CN"/>
        </w:rPr>
        <w:t>2000</w:t>
      </w:r>
      <w:r>
        <w:rPr>
          <w:rFonts w:hint="eastAsia" w:ascii="仿宋_GB2312" w:hAnsi="仿宋_GB2312" w:eastAsia="仿宋_GB2312" w:cs="仿宋_GB2312"/>
          <w:b w:val="0"/>
          <w:bCs w:val="0"/>
          <w:snapToGrid w:val="0"/>
          <w:color w:val="000000"/>
          <w:spacing w:val="13"/>
          <w:kern w:val="0"/>
          <w:sz w:val="32"/>
          <w:szCs w:val="32"/>
          <w:lang w:val="en-US" w:eastAsia="zh-CN" w:bidi="ar-SA"/>
        </w:rPr>
        <w:t>万元，资金来源为一般债券，计划建设年限为</w:t>
      </w:r>
      <w:r>
        <w:rPr>
          <w:rFonts w:hint="default" w:ascii="Times New Roman" w:hAnsi="Times New Roman" w:eastAsia="仿宋_GB2312" w:cs="Times New Roman"/>
          <w:snapToGrid w:val="0"/>
          <w:color w:val="auto"/>
          <w:spacing w:val="13"/>
          <w:kern w:val="0"/>
          <w:sz w:val="32"/>
          <w:szCs w:val="32"/>
          <w:lang w:val="en-US" w:eastAsia="zh-CN"/>
        </w:rPr>
        <w:t>2029</w:t>
      </w:r>
      <w:r>
        <w:rPr>
          <w:rFonts w:hint="eastAsia" w:ascii="仿宋_GB2312" w:hAnsi="仿宋_GB2312" w:eastAsia="仿宋_GB2312" w:cs="仿宋_GB2312"/>
          <w:b w:val="0"/>
          <w:bCs w:val="0"/>
          <w:snapToGrid w:val="0"/>
          <w:color w:val="000000"/>
          <w:spacing w:val="13"/>
          <w:kern w:val="0"/>
          <w:sz w:val="32"/>
          <w:szCs w:val="32"/>
          <w:lang w:val="en-US" w:eastAsia="zh-CN" w:bidi="ar-SA"/>
        </w:rPr>
        <w:t>年。本工程针对我县现有应急平台前端感知设备部署短板，精准布局重点领域感知设备，确保重点领域监测无死角、数据可追溯、处置及时到位。打通数据联通壁垒，将所有新增感知设备数据统一接入县级应急大数据平台，规范数据接口标准，实现与现有消防水压、室内外消火栓、危险化学品监测等数据互联互通，破除部门数据孤岛，推动重点领域监测数据实现一屏总览、同步分析、集中研判，提升数据利用效能。</w:t>
      </w:r>
    </w:p>
    <w:p w14:paraId="5CEEE5DA">
      <w:pPr>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center"/>
        <w:textAlignment w:val="baseline"/>
        <w:outlineLvl w:val="0"/>
        <w:rPr>
          <w:rFonts w:hint="eastAsia" w:ascii="黑体" w:hAnsi="黑体" w:eastAsia="黑体" w:cs="黑体"/>
          <w:snapToGrid w:val="0"/>
          <w:color w:val="auto"/>
          <w:spacing w:val="14"/>
          <w:kern w:val="0"/>
          <w:sz w:val="32"/>
          <w:szCs w:val="32"/>
          <w:lang w:val="en-US" w:eastAsia="zh-CN"/>
        </w:rPr>
      </w:pPr>
      <w:bookmarkStart w:id="77" w:name="_Toc9123"/>
    </w:p>
    <w:p w14:paraId="6853D4A2">
      <w:pPr>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both"/>
        <w:textAlignment w:val="baseline"/>
        <w:outlineLvl w:val="0"/>
        <w:rPr>
          <w:rFonts w:hint="eastAsia" w:ascii="黑体" w:hAnsi="黑体" w:eastAsia="黑体" w:cs="黑体"/>
          <w:snapToGrid w:val="0"/>
          <w:color w:val="auto"/>
          <w:spacing w:val="14"/>
          <w:kern w:val="0"/>
          <w:sz w:val="32"/>
          <w:szCs w:val="32"/>
          <w:lang w:val="en-US" w:eastAsia="zh-CN"/>
        </w:rPr>
      </w:pPr>
    </w:p>
    <w:p w14:paraId="1AD44973">
      <w:pPr>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center"/>
        <w:textAlignment w:val="baseline"/>
        <w:outlineLvl w:val="0"/>
        <w:rPr>
          <w:rFonts w:hint="eastAsia" w:ascii="黑体" w:hAnsi="黑体" w:eastAsia="黑体" w:cs="黑体"/>
          <w:snapToGrid w:val="0"/>
          <w:color w:val="auto"/>
          <w:spacing w:val="14"/>
          <w:kern w:val="0"/>
          <w:sz w:val="32"/>
          <w:szCs w:val="32"/>
          <w:lang w:val="en-US" w:eastAsia="zh-CN"/>
        </w:rPr>
      </w:pPr>
    </w:p>
    <w:p w14:paraId="6B3CF8DE">
      <w:pPr>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center"/>
        <w:textAlignment w:val="baseline"/>
        <w:outlineLvl w:val="0"/>
        <w:rPr>
          <w:rFonts w:hint="eastAsia" w:ascii="黑体" w:hAnsi="黑体" w:eastAsia="黑体" w:cs="黑体"/>
          <w:snapToGrid w:val="0"/>
          <w:color w:val="auto"/>
          <w:spacing w:val="14"/>
          <w:kern w:val="0"/>
          <w:sz w:val="32"/>
          <w:szCs w:val="32"/>
          <w:lang w:val="en-US" w:eastAsia="zh-CN"/>
        </w:rPr>
      </w:pPr>
    </w:p>
    <w:p w14:paraId="37ED9F50">
      <w:pPr>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center"/>
        <w:textAlignment w:val="baseline"/>
        <w:outlineLvl w:val="0"/>
        <w:rPr>
          <w:rFonts w:hint="eastAsia" w:ascii="黑体" w:hAnsi="黑体" w:eastAsia="黑体" w:cs="黑体"/>
          <w:snapToGrid w:val="0"/>
          <w:color w:val="auto"/>
          <w:spacing w:val="14"/>
          <w:kern w:val="0"/>
          <w:sz w:val="32"/>
          <w:szCs w:val="32"/>
          <w:lang w:val="en-US" w:eastAsia="zh-CN"/>
        </w:rPr>
      </w:pPr>
    </w:p>
    <w:p w14:paraId="7CCA06FA">
      <w:pPr>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center"/>
        <w:textAlignment w:val="baseline"/>
        <w:outlineLvl w:val="0"/>
        <w:rPr>
          <w:rFonts w:hint="eastAsia" w:ascii="黑体" w:hAnsi="黑体" w:eastAsia="黑体" w:cs="黑体"/>
          <w:snapToGrid w:val="0"/>
          <w:color w:val="auto"/>
          <w:spacing w:val="14"/>
          <w:kern w:val="0"/>
          <w:sz w:val="32"/>
          <w:szCs w:val="32"/>
          <w:lang w:val="en-US" w:eastAsia="zh-CN"/>
        </w:rPr>
        <w:sectPr>
          <w:footerReference r:id="rId8" w:type="default"/>
          <w:pgSz w:w="11906" w:h="16838"/>
          <w:pgMar w:top="2098" w:right="1474" w:bottom="1984" w:left="1587" w:header="851" w:footer="992" w:gutter="0"/>
          <w:pgNumType w:fmt="decimal" w:start="1"/>
          <w:cols w:space="720" w:num="1"/>
          <w:rtlGutter w:val="0"/>
          <w:docGrid w:type="linesAndChars" w:linePitch="579" w:charSpace="0"/>
        </w:sectPr>
      </w:pPr>
    </w:p>
    <w:p w14:paraId="3986F3F9">
      <w:pPr>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center"/>
        <w:textAlignment w:val="baseline"/>
        <w:outlineLvl w:val="0"/>
        <w:rPr>
          <w:rFonts w:hint="eastAsia" w:ascii="黑体" w:hAnsi="黑体" w:eastAsia="黑体" w:cs="黑体"/>
          <w:snapToGrid w:val="0"/>
          <w:color w:val="auto"/>
          <w:spacing w:val="14"/>
          <w:kern w:val="0"/>
          <w:sz w:val="32"/>
          <w:szCs w:val="32"/>
          <w:lang w:val="en-US" w:eastAsia="zh-CN"/>
        </w:rPr>
      </w:pPr>
      <w:r>
        <w:rPr>
          <w:rFonts w:hint="eastAsia" w:ascii="黑体" w:hAnsi="黑体" w:eastAsia="黑体" w:cs="黑体"/>
          <w:snapToGrid w:val="0"/>
          <w:color w:val="auto"/>
          <w:spacing w:val="14"/>
          <w:kern w:val="0"/>
          <w:sz w:val="32"/>
          <w:szCs w:val="32"/>
          <w:lang w:val="en-US" w:eastAsia="zh-CN"/>
        </w:rPr>
        <w:t>《墨玉县应急管理体系建设“十五五”实施方案》重点项目清单</w:t>
      </w:r>
    </w:p>
    <w:tbl>
      <w:tblPr>
        <w:tblStyle w:val="34"/>
        <w:tblpPr w:leftFromText="180" w:rightFromText="180" w:vertAnchor="text" w:horzAnchor="page" w:tblpX="1963" w:tblpY="113"/>
        <w:tblOverlap w:val="never"/>
        <w:tblW w:w="131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5"/>
        <w:gridCol w:w="3493"/>
        <w:gridCol w:w="1788"/>
        <w:gridCol w:w="1320"/>
        <w:gridCol w:w="1289"/>
        <w:gridCol w:w="1644"/>
        <w:gridCol w:w="1427"/>
        <w:gridCol w:w="1366"/>
      </w:tblGrid>
      <w:tr w14:paraId="45A41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9" w:hRule="atLeast"/>
        </w:trPr>
        <w:tc>
          <w:tcPr>
            <w:tcW w:w="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859C9">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spacing w:val="-6"/>
                <w:kern w:val="0"/>
                <w:sz w:val="28"/>
                <w:szCs w:val="28"/>
                <w:u w:val="none"/>
                <w:lang w:val="en-US" w:eastAsia="zh-CN" w:bidi="ar"/>
              </w:rPr>
              <w:t>序号</w:t>
            </w:r>
          </w:p>
        </w:tc>
        <w:tc>
          <w:tcPr>
            <w:tcW w:w="3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8B8A3">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spacing w:val="-6"/>
                <w:kern w:val="0"/>
                <w:sz w:val="28"/>
                <w:szCs w:val="28"/>
                <w:u w:val="none"/>
                <w:lang w:val="en-US" w:eastAsia="zh-CN" w:bidi="ar"/>
              </w:rPr>
              <w:t>项目名称</w:t>
            </w:r>
          </w:p>
        </w:tc>
        <w:tc>
          <w:tcPr>
            <w:tcW w:w="17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17F64">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spacing w:val="-6"/>
                <w:kern w:val="0"/>
                <w:sz w:val="28"/>
                <w:szCs w:val="28"/>
                <w:u w:val="none"/>
                <w:lang w:val="en-US" w:eastAsia="zh-CN" w:bidi="ar"/>
              </w:rPr>
              <w:t>项目类型</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A9EC8">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spacing w:val="-6"/>
                <w:kern w:val="0"/>
                <w:sz w:val="28"/>
                <w:szCs w:val="28"/>
                <w:u w:val="none"/>
                <w:lang w:val="en-US" w:eastAsia="zh-CN" w:bidi="ar"/>
              </w:rPr>
              <w:t>地点</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84AD36">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pacing w:val="-6"/>
                <w:kern w:val="0"/>
                <w:sz w:val="28"/>
                <w:szCs w:val="28"/>
                <w:u w:val="none"/>
                <w:lang w:val="en-US" w:eastAsia="zh-CN" w:bidi="ar"/>
              </w:rPr>
            </w:pPr>
            <w:r>
              <w:rPr>
                <w:rFonts w:hint="eastAsia" w:ascii="宋体" w:hAnsi="宋体" w:eastAsia="宋体" w:cs="宋体"/>
                <w:b/>
                <w:bCs/>
                <w:i w:val="0"/>
                <w:iCs w:val="0"/>
                <w:color w:val="000000"/>
                <w:spacing w:val="-6"/>
                <w:kern w:val="0"/>
                <w:sz w:val="28"/>
                <w:szCs w:val="28"/>
                <w:u w:val="none"/>
                <w:lang w:val="en-US" w:eastAsia="zh-CN" w:bidi="ar"/>
              </w:rPr>
              <w:t>总投资</w:t>
            </w:r>
          </w:p>
          <w:p w14:paraId="285D4B2D">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spacing w:val="-6"/>
                <w:kern w:val="0"/>
                <w:sz w:val="28"/>
                <w:szCs w:val="28"/>
                <w:u w:val="none"/>
                <w:lang w:val="en-US" w:eastAsia="zh-CN" w:bidi="ar"/>
              </w:rPr>
              <w:t>（万元）</w:t>
            </w: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38C5B">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pacing w:val="-6"/>
                <w:kern w:val="0"/>
                <w:sz w:val="28"/>
                <w:szCs w:val="28"/>
                <w:u w:val="none"/>
                <w:lang w:val="en-US" w:eastAsia="zh-CN" w:bidi="ar"/>
              </w:rPr>
            </w:pPr>
            <w:r>
              <w:rPr>
                <w:rFonts w:hint="eastAsia" w:ascii="宋体" w:hAnsi="宋体" w:eastAsia="宋体" w:cs="宋体"/>
                <w:b/>
                <w:bCs/>
                <w:i w:val="0"/>
                <w:iCs w:val="0"/>
                <w:color w:val="000000"/>
                <w:spacing w:val="-6"/>
                <w:kern w:val="0"/>
                <w:sz w:val="28"/>
                <w:szCs w:val="28"/>
                <w:u w:val="none"/>
                <w:lang w:val="en-US" w:eastAsia="zh-CN" w:bidi="ar"/>
              </w:rPr>
              <w:t xml:space="preserve">拟申报  </w:t>
            </w:r>
          </w:p>
          <w:p w14:paraId="39CF718C">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spacing w:val="-6"/>
                <w:kern w:val="0"/>
                <w:sz w:val="28"/>
                <w:szCs w:val="28"/>
                <w:u w:val="none"/>
                <w:lang w:val="en-US" w:eastAsia="zh-CN" w:bidi="ar"/>
              </w:rPr>
              <w:t>资金来源</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54605">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spacing w:val="-6"/>
                <w:kern w:val="0"/>
                <w:sz w:val="28"/>
                <w:szCs w:val="28"/>
                <w:u w:val="none"/>
                <w:lang w:val="en-US" w:eastAsia="zh-CN" w:bidi="ar"/>
              </w:rPr>
              <w:t>计划开工时间</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799CC">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spacing w:val="-6"/>
                <w:kern w:val="0"/>
                <w:sz w:val="28"/>
                <w:szCs w:val="28"/>
                <w:u w:val="none"/>
                <w:lang w:val="en-US" w:eastAsia="zh-CN" w:bidi="ar"/>
              </w:rPr>
              <w:t>计划竣工</w:t>
            </w:r>
            <w:r>
              <w:rPr>
                <w:rFonts w:hint="eastAsia" w:ascii="宋体" w:hAnsi="宋体" w:eastAsia="宋体" w:cs="宋体"/>
                <w:b/>
                <w:bCs/>
                <w:i w:val="0"/>
                <w:iCs w:val="0"/>
                <w:color w:val="000000"/>
                <w:spacing w:val="-6"/>
                <w:kern w:val="0"/>
                <w:sz w:val="28"/>
                <w:szCs w:val="28"/>
                <w:u w:val="none"/>
                <w:lang w:val="en-US" w:eastAsia="zh-CN" w:bidi="ar"/>
              </w:rPr>
              <w:br w:type="textWrapping"/>
            </w:r>
            <w:r>
              <w:rPr>
                <w:rFonts w:hint="eastAsia" w:ascii="宋体" w:hAnsi="宋体" w:eastAsia="宋体" w:cs="宋体"/>
                <w:b/>
                <w:bCs/>
                <w:i w:val="0"/>
                <w:iCs w:val="0"/>
                <w:color w:val="000000"/>
                <w:spacing w:val="-6"/>
                <w:kern w:val="0"/>
                <w:sz w:val="28"/>
                <w:szCs w:val="28"/>
                <w:u w:val="none"/>
                <w:lang w:val="en-US" w:eastAsia="zh-CN" w:bidi="ar"/>
              </w:rPr>
              <w:t>时间</w:t>
            </w:r>
          </w:p>
        </w:tc>
      </w:tr>
      <w:tr w14:paraId="48C19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E3DEC">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1</w:t>
            </w:r>
          </w:p>
        </w:tc>
        <w:tc>
          <w:tcPr>
            <w:tcW w:w="3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B6CD8">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防灾减灾救灾能力提升项目</w:t>
            </w:r>
          </w:p>
        </w:tc>
        <w:tc>
          <w:tcPr>
            <w:tcW w:w="17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853F1">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lang w:val="en-US" w:eastAsia="zh-CN" w:bidi="ar"/>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94690" cy="1073150"/>
                  <wp:effectExtent l="0" t="0" r="0" b="0"/>
                  <wp:wrapNone/>
                  <wp:docPr id="97" name="Picture_438836_SpCnt_298"/>
                  <wp:cNvGraphicFramePr/>
                  <a:graphic xmlns:a="http://schemas.openxmlformats.org/drawingml/2006/main">
                    <a:graphicData uri="http://schemas.openxmlformats.org/drawingml/2006/picture">
                      <pic:pic xmlns:pic="http://schemas.openxmlformats.org/drawingml/2006/picture">
                        <pic:nvPicPr>
                          <pic:cNvPr id="97" name="Picture_438836_SpCnt_298"/>
                          <pic:cNvPicPr/>
                        </pic:nvPicPr>
                        <pic:blipFill>
                          <a:blip r:embed="rId27"/>
                          <a:stretch>
                            <a:fillRect/>
                          </a:stretch>
                        </pic:blipFill>
                        <pic:spPr>
                          <a:xfrm>
                            <a:off x="0" y="0"/>
                            <a:ext cx="694690" cy="107315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94690" cy="1130300"/>
                  <wp:effectExtent l="0" t="0" r="0" b="0"/>
                  <wp:wrapNone/>
                  <wp:docPr id="98" name="Picture_438836_SpCnt_299"/>
                  <wp:cNvGraphicFramePr/>
                  <a:graphic xmlns:a="http://schemas.openxmlformats.org/drawingml/2006/main">
                    <a:graphicData uri="http://schemas.openxmlformats.org/drawingml/2006/picture">
                      <pic:pic xmlns:pic="http://schemas.openxmlformats.org/drawingml/2006/picture">
                        <pic:nvPicPr>
                          <pic:cNvPr id="98" name="Picture_438836_SpCnt_299"/>
                          <pic:cNvPicPr/>
                        </pic:nvPicPr>
                        <pic:blipFill>
                          <a:blip r:embed="rId27"/>
                          <a:stretch>
                            <a:fillRect/>
                          </a:stretch>
                        </pic:blipFill>
                        <pic:spPr>
                          <a:xfrm>
                            <a:off x="0" y="0"/>
                            <a:ext cx="694690" cy="113030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94690" cy="1109980"/>
                  <wp:effectExtent l="0" t="0" r="0" b="0"/>
                  <wp:wrapNone/>
                  <wp:docPr id="99" name="Picture_438836_SpCnt_300"/>
                  <wp:cNvGraphicFramePr/>
                  <a:graphic xmlns:a="http://schemas.openxmlformats.org/drawingml/2006/main">
                    <a:graphicData uri="http://schemas.openxmlformats.org/drawingml/2006/picture">
                      <pic:pic xmlns:pic="http://schemas.openxmlformats.org/drawingml/2006/picture">
                        <pic:nvPicPr>
                          <pic:cNvPr id="99" name="Picture_438836_SpCnt_300"/>
                          <pic:cNvPicPr/>
                        </pic:nvPicPr>
                        <pic:blipFill>
                          <a:blip r:embed="rId27"/>
                          <a:stretch>
                            <a:fillRect/>
                          </a:stretch>
                        </pic:blipFill>
                        <pic:spPr>
                          <a:xfrm>
                            <a:off x="0" y="0"/>
                            <a:ext cx="694690" cy="110998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94690" cy="1120140"/>
                  <wp:effectExtent l="0" t="0" r="0" b="0"/>
                  <wp:wrapNone/>
                  <wp:docPr id="100" name="Picture_438836_SpCnt_301"/>
                  <wp:cNvGraphicFramePr/>
                  <a:graphic xmlns:a="http://schemas.openxmlformats.org/drawingml/2006/main">
                    <a:graphicData uri="http://schemas.openxmlformats.org/drawingml/2006/picture">
                      <pic:pic xmlns:pic="http://schemas.openxmlformats.org/drawingml/2006/picture">
                        <pic:nvPicPr>
                          <pic:cNvPr id="100" name="Picture_438836_SpCnt_301"/>
                          <pic:cNvPicPr/>
                        </pic:nvPicPr>
                        <pic:blipFill>
                          <a:blip r:embed="rId27"/>
                          <a:stretch>
                            <a:fillRect/>
                          </a:stretch>
                        </pic:blipFill>
                        <pic:spPr>
                          <a:xfrm>
                            <a:off x="0" y="0"/>
                            <a:ext cx="694690" cy="112014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94690" cy="1090295"/>
                  <wp:effectExtent l="0" t="0" r="0" b="0"/>
                  <wp:wrapNone/>
                  <wp:docPr id="101" name="Picture_438836_SpCnt_302"/>
                  <wp:cNvGraphicFramePr/>
                  <a:graphic xmlns:a="http://schemas.openxmlformats.org/drawingml/2006/main">
                    <a:graphicData uri="http://schemas.openxmlformats.org/drawingml/2006/picture">
                      <pic:pic xmlns:pic="http://schemas.openxmlformats.org/drawingml/2006/picture">
                        <pic:nvPicPr>
                          <pic:cNvPr id="101" name="Picture_438836_SpCnt_302"/>
                          <pic:cNvPicPr/>
                        </pic:nvPicPr>
                        <pic:blipFill>
                          <a:blip r:embed="rId27"/>
                          <a:stretch>
                            <a:fillRect/>
                          </a:stretch>
                        </pic:blipFill>
                        <pic:spPr>
                          <a:xfrm>
                            <a:off x="0" y="0"/>
                            <a:ext cx="694690" cy="109029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85165" cy="1073150"/>
                  <wp:effectExtent l="0" t="0" r="0" b="0"/>
                  <wp:wrapNone/>
                  <wp:docPr id="102" name="Picture_438836_SpCnt_303"/>
                  <wp:cNvGraphicFramePr/>
                  <a:graphic xmlns:a="http://schemas.openxmlformats.org/drawingml/2006/main">
                    <a:graphicData uri="http://schemas.openxmlformats.org/drawingml/2006/picture">
                      <pic:pic xmlns:pic="http://schemas.openxmlformats.org/drawingml/2006/picture">
                        <pic:nvPicPr>
                          <pic:cNvPr id="102" name="Picture_438836_SpCnt_303"/>
                          <pic:cNvPicPr/>
                        </pic:nvPicPr>
                        <pic:blipFill>
                          <a:blip r:embed="rId27"/>
                          <a:stretch>
                            <a:fillRect/>
                          </a:stretch>
                        </pic:blipFill>
                        <pic:spPr>
                          <a:xfrm>
                            <a:off x="0" y="0"/>
                            <a:ext cx="685165" cy="107315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85165" cy="1120140"/>
                  <wp:effectExtent l="0" t="0" r="0" b="0"/>
                  <wp:wrapNone/>
                  <wp:docPr id="103" name="Picture_438836_SpCnt_304"/>
                  <wp:cNvGraphicFramePr/>
                  <a:graphic xmlns:a="http://schemas.openxmlformats.org/drawingml/2006/main">
                    <a:graphicData uri="http://schemas.openxmlformats.org/drawingml/2006/picture">
                      <pic:pic xmlns:pic="http://schemas.openxmlformats.org/drawingml/2006/picture">
                        <pic:nvPicPr>
                          <pic:cNvPr id="103" name="Picture_438836_SpCnt_304"/>
                          <pic:cNvPicPr/>
                        </pic:nvPicPr>
                        <pic:blipFill>
                          <a:blip r:embed="rId27"/>
                          <a:stretch>
                            <a:fillRect/>
                          </a:stretch>
                        </pic:blipFill>
                        <pic:spPr>
                          <a:xfrm>
                            <a:off x="0" y="0"/>
                            <a:ext cx="685165" cy="112014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94690" cy="1157605"/>
                  <wp:effectExtent l="0" t="0" r="0" b="0"/>
                  <wp:wrapNone/>
                  <wp:docPr id="104" name="Picture_438836_SpCnt_305"/>
                  <wp:cNvGraphicFramePr/>
                  <a:graphic xmlns:a="http://schemas.openxmlformats.org/drawingml/2006/main">
                    <a:graphicData uri="http://schemas.openxmlformats.org/drawingml/2006/picture">
                      <pic:pic xmlns:pic="http://schemas.openxmlformats.org/drawingml/2006/picture">
                        <pic:nvPicPr>
                          <pic:cNvPr id="104" name="Picture_438836_SpCnt_305"/>
                          <pic:cNvPicPr/>
                        </pic:nvPicPr>
                        <pic:blipFill>
                          <a:blip r:embed="rId27"/>
                          <a:stretch>
                            <a:fillRect/>
                          </a:stretch>
                        </pic:blipFill>
                        <pic:spPr>
                          <a:xfrm>
                            <a:off x="0" y="0"/>
                            <a:ext cx="694690" cy="115760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94690" cy="1080135"/>
                  <wp:effectExtent l="0" t="0" r="0" b="0"/>
                  <wp:wrapNone/>
                  <wp:docPr id="105" name="Picture_438836_SpCnt_306"/>
                  <wp:cNvGraphicFramePr/>
                  <a:graphic xmlns:a="http://schemas.openxmlformats.org/drawingml/2006/main">
                    <a:graphicData uri="http://schemas.openxmlformats.org/drawingml/2006/picture">
                      <pic:pic xmlns:pic="http://schemas.openxmlformats.org/drawingml/2006/picture">
                        <pic:nvPicPr>
                          <pic:cNvPr id="105" name="Picture_438836_SpCnt_306"/>
                          <pic:cNvPicPr/>
                        </pic:nvPicPr>
                        <pic:blipFill>
                          <a:blip r:embed="rId27"/>
                          <a:stretch>
                            <a:fillRect/>
                          </a:stretch>
                        </pic:blipFill>
                        <pic:spPr>
                          <a:xfrm>
                            <a:off x="0" y="0"/>
                            <a:ext cx="694690" cy="108013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94690" cy="1099820"/>
                  <wp:effectExtent l="0" t="0" r="0" b="0"/>
                  <wp:wrapNone/>
                  <wp:docPr id="106" name="Picture_438836_SpCnt_307"/>
                  <wp:cNvGraphicFramePr/>
                  <a:graphic xmlns:a="http://schemas.openxmlformats.org/drawingml/2006/main">
                    <a:graphicData uri="http://schemas.openxmlformats.org/drawingml/2006/picture">
                      <pic:pic xmlns:pic="http://schemas.openxmlformats.org/drawingml/2006/picture">
                        <pic:nvPicPr>
                          <pic:cNvPr id="106" name="Picture_438836_SpCnt_307"/>
                          <pic:cNvPicPr/>
                        </pic:nvPicPr>
                        <pic:blipFill>
                          <a:blip r:embed="rId27"/>
                          <a:stretch>
                            <a:fillRect/>
                          </a:stretch>
                        </pic:blipFill>
                        <pic:spPr>
                          <a:xfrm>
                            <a:off x="0" y="0"/>
                            <a:ext cx="694690" cy="109982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85165" cy="1130300"/>
                  <wp:effectExtent l="0" t="0" r="0" b="0"/>
                  <wp:wrapNone/>
                  <wp:docPr id="107" name="Picture_438836_SpCnt_308"/>
                  <wp:cNvGraphicFramePr/>
                  <a:graphic xmlns:a="http://schemas.openxmlformats.org/drawingml/2006/main">
                    <a:graphicData uri="http://schemas.openxmlformats.org/drawingml/2006/picture">
                      <pic:pic xmlns:pic="http://schemas.openxmlformats.org/drawingml/2006/picture">
                        <pic:nvPicPr>
                          <pic:cNvPr id="107" name="Picture_438836_SpCnt_308"/>
                          <pic:cNvPicPr/>
                        </pic:nvPicPr>
                        <pic:blipFill>
                          <a:blip r:embed="rId27"/>
                          <a:stretch>
                            <a:fillRect/>
                          </a:stretch>
                        </pic:blipFill>
                        <pic:spPr>
                          <a:xfrm>
                            <a:off x="0" y="0"/>
                            <a:ext cx="685165" cy="113030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85165" cy="1109980"/>
                  <wp:effectExtent l="0" t="0" r="0" b="0"/>
                  <wp:wrapNone/>
                  <wp:docPr id="108" name="Picture_438836_SpCnt_309"/>
                  <wp:cNvGraphicFramePr/>
                  <a:graphic xmlns:a="http://schemas.openxmlformats.org/drawingml/2006/main">
                    <a:graphicData uri="http://schemas.openxmlformats.org/drawingml/2006/picture">
                      <pic:pic xmlns:pic="http://schemas.openxmlformats.org/drawingml/2006/picture">
                        <pic:nvPicPr>
                          <pic:cNvPr id="108" name="Picture_438836_SpCnt_309"/>
                          <pic:cNvPicPr/>
                        </pic:nvPicPr>
                        <pic:blipFill>
                          <a:blip r:embed="rId27"/>
                          <a:stretch>
                            <a:fillRect/>
                          </a:stretch>
                        </pic:blipFill>
                        <pic:spPr>
                          <a:xfrm>
                            <a:off x="0" y="0"/>
                            <a:ext cx="685165" cy="110998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85165" cy="1157605"/>
                  <wp:effectExtent l="0" t="0" r="0" b="0"/>
                  <wp:wrapNone/>
                  <wp:docPr id="109" name="Picture_438836_SpCnt_310"/>
                  <wp:cNvGraphicFramePr/>
                  <a:graphic xmlns:a="http://schemas.openxmlformats.org/drawingml/2006/main">
                    <a:graphicData uri="http://schemas.openxmlformats.org/drawingml/2006/picture">
                      <pic:pic xmlns:pic="http://schemas.openxmlformats.org/drawingml/2006/picture">
                        <pic:nvPicPr>
                          <pic:cNvPr id="109" name="Picture_438836_SpCnt_310"/>
                          <pic:cNvPicPr/>
                        </pic:nvPicPr>
                        <pic:blipFill>
                          <a:blip r:embed="rId27"/>
                          <a:stretch>
                            <a:fillRect/>
                          </a:stretch>
                        </pic:blipFill>
                        <pic:spPr>
                          <a:xfrm>
                            <a:off x="0" y="0"/>
                            <a:ext cx="685165" cy="115760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85165" cy="1080135"/>
                  <wp:effectExtent l="0" t="0" r="0" b="0"/>
                  <wp:wrapNone/>
                  <wp:docPr id="110" name="Picture_438836_SpCnt_311"/>
                  <wp:cNvGraphicFramePr/>
                  <a:graphic xmlns:a="http://schemas.openxmlformats.org/drawingml/2006/main">
                    <a:graphicData uri="http://schemas.openxmlformats.org/drawingml/2006/picture">
                      <pic:pic xmlns:pic="http://schemas.openxmlformats.org/drawingml/2006/picture">
                        <pic:nvPicPr>
                          <pic:cNvPr id="110" name="Picture_438836_SpCnt_311"/>
                          <pic:cNvPicPr/>
                        </pic:nvPicPr>
                        <pic:blipFill>
                          <a:blip r:embed="rId27"/>
                          <a:stretch>
                            <a:fillRect/>
                          </a:stretch>
                        </pic:blipFill>
                        <pic:spPr>
                          <a:xfrm>
                            <a:off x="0" y="0"/>
                            <a:ext cx="685165" cy="108013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85165" cy="1099820"/>
                  <wp:effectExtent l="0" t="0" r="0" b="0"/>
                  <wp:wrapNone/>
                  <wp:docPr id="111" name="Picture_438836_SpCnt_312"/>
                  <wp:cNvGraphicFramePr/>
                  <a:graphic xmlns:a="http://schemas.openxmlformats.org/drawingml/2006/main">
                    <a:graphicData uri="http://schemas.openxmlformats.org/drawingml/2006/picture">
                      <pic:pic xmlns:pic="http://schemas.openxmlformats.org/drawingml/2006/picture">
                        <pic:nvPicPr>
                          <pic:cNvPr id="111" name="Picture_438836_SpCnt_312"/>
                          <pic:cNvPicPr/>
                        </pic:nvPicPr>
                        <pic:blipFill>
                          <a:blip r:embed="rId27"/>
                          <a:stretch>
                            <a:fillRect/>
                          </a:stretch>
                        </pic:blipFill>
                        <pic:spPr>
                          <a:xfrm>
                            <a:off x="0" y="0"/>
                            <a:ext cx="685165" cy="109982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75640" cy="1097280"/>
                  <wp:effectExtent l="0" t="0" r="0" b="0"/>
                  <wp:wrapNone/>
                  <wp:docPr id="112" name="Picture_438836_SpCnt_313"/>
                  <wp:cNvGraphicFramePr/>
                  <a:graphic xmlns:a="http://schemas.openxmlformats.org/drawingml/2006/main">
                    <a:graphicData uri="http://schemas.openxmlformats.org/drawingml/2006/picture">
                      <pic:pic xmlns:pic="http://schemas.openxmlformats.org/drawingml/2006/picture">
                        <pic:nvPicPr>
                          <pic:cNvPr id="112" name="Picture_438836_SpCnt_313"/>
                          <pic:cNvPicPr/>
                        </pic:nvPicPr>
                        <pic:blipFill>
                          <a:blip r:embed="rId27"/>
                          <a:stretch>
                            <a:fillRect/>
                          </a:stretch>
                        </pic:blipFill>
                        <pic:spPr>
                          <a:xfrm>
                            <a:off x="0" y="0"/>
                            <a:ext cx="675640" cy="109728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75640" cy="1128395"/>
                  <wp:effectExtent l="0" t="0" r="0" b="0"/>
                  <wp:wrapNone/>
                  <wp:docPr id="113" name="Picture_438836_SpCnt_314"/>
                  <wp:cNvGraphicFramePr/>
                  <a:graphic xmlns:a="http://schemas.openxmlformats.org/drawingml/2006/main">
                    <a:graphicData uri="http://schemas.openxmlformats.org/drawingml/2006/picture">
                      <pic:pic xmlns:pic="http://schemas.openxmlformats.org/drawingml/2006/picture">
                        <pic:nvPicPr>
                          <pic:cNvPr id="113" name="Picture_438836_SpCnt_314"/>
                          <pic:cNvPicPr/>
                        </pic:nvPicPr>
                        <pic:blipFill>
                          <a:blip r:embed="rId27"/>
                          <a:stretch>
                            <a:fillRect/>
                          </a:stretch>
                        </pic:blipFill>
                        <pic:spPr>
                          <a:xfrm>
                            <a:off x="0" y="0"/>
                            <a:ext cx="675640" cy="112839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75640" cy="1088390"/>
                  <wp:effectExtent l="0" t="0" r="0" b="0"/>
                  <wp:wrapNone/>
                  <wp:docPr id="114" name="Picture_438836_SpCnt_315"/>
                  <wp:cNvGraphicFramePr/>
                  <a:graphic xmlns:a="http://schemas.openxmlformats.org/drawingml/2006/main">
                    <a:graphicData uri="http://schemas.openxmlformats.org/drawingml/2006/picture">
                      <pic:pic xmlns:pic="http://schemas.openxmlformats.org/drawingml/2006/picture">
                        <pic:nvPicPr>
                          <pic:cNvPr id="114" name="Picture_438836_SpCnt_315"/>
                          <pic:cNvPicPr/>
                        </pic:nvPicPr>
                        <pic:blipFill>
                          <a:blip r:embed="rId27"/>
                          <a:stretch>
                            <a:fillRect/>
                          </a:stretch>
                        </pic:blipFill>
                        <pic:spPr>
                          <a:xfrm>
                            <a:off x="0" y="0"/>
                            <a:ext cx="675640" cy="108839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75640" cy="1118235"/>
                  <wp:effectExtent l="0" t="0" r="0" b="0"/>
                  <wp:wrapNone/>
                  <wp:docPr id="115" name="Picture_438836_SpCnt_316"/>
                  <wp:cNvGraphicFramePr/>
                  <a:graphic xmlns:a="http://schemas.openxmlformats.org/drawingml/2006/main">
                    <a:graphicData uri="http://schemas.openxmlformats.org/drawingml/2006/picture">
                      <pic:pic xmlns:pic="http://schemas.openxmlformats.org/drawingml/2006/picture">
                        <pic:nvPicPr>
                          <pic:cNvPr id="115" name="Picture_438836_SpCnt_316"/>
                          <pic:cNvPicPr/>
                        </pic:nvPicPr>
                        <pic:blipFill>
                          <a:blip r:embed="rId27"/>
                          <a:stretch>
                            <a:fillRect/>
                          </a:stretch>
                        </pic:blipFill>
                        <pic:spPr>
                          <a:xfrm>
                            <a:off x="0" y="0"/>
                            <a:ext cx="675640" cy="111823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75640" cy="1108075"/>
                  <wp:effectExtent l="0" t="0" r="0" b="0"/>
                  <wp:wrapNone/>
                  <wp:docPr id="116" name="Picture_438836_SpCnt_317"/>
                  <wp:cNvGraphicFramePr/>
                  <a:graphic xmlns:a="http://schemas.openxmlformats.org/drawingml/2006/main">
                    <a:graphicData uri="http://schemas.openxmlformats.org/drawingml/2006/picture">
                      <pic:pic xmlns:pic="http://schemas.openxmlformats.org/drawingml/2006/picture">
                        <pic:nvPicPr>
                          <pic:cNvPr id="116" name="Picture_438836_SpCnt_317"/>
                          <pic:cNvPicPr/>
                        </pic:nvPicPr>
                        <pic:blipFill>
                          <a:blip r:embed="rId27"/>
                          <a:stretch>
                            <a:fillRect/>
                          </a:stretch>
                        </pic:blipFill>
                        <pic:spPr>
                          <a:xfrm>
                            <a:off x="0" y="0"/>
                            <a:ext cx="675640" cy="110807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75640" cy="1155700"/>
                  <wp:effectExtent l="0" t="0" r="0" b="0"/>
                  <wp:wrapNone/>
                  <wp:docPr id="117" name="Picture_438836_SpCnt_318"/>
                  <wp:cNvGraphicFramePr/>
                  <a:graphic xmlns:a="http://schemas.openxmlformats.org/drawingml/2006/main">
                    <a:graphicData uri="http://schemas.openxmlformats.org/drawingml/2006/picture">
                      <pic:pic xmlns:pic="http://schemas.openxmlformats.org/drawingml/2006/picture">
                        <pic:nvPicPr>
                          <pic:cNvPr id="117" name="Picture_438836_SpCnt_318"/>
                          <pic:cNvPicPr/>
                        </pic:nvPicPr>
                        <pic:blipFill>
                          <a:blip r:embed="rId27"/>
                          <a:stretch>
                            <a:fillRect/>
                          </a:stretch>
                        </pic:blipFill>
                        <pic:spPr>
                          <a:xfrm>
                            <a:off x="0" y="0"/>
                            <a:ext cx="675640" cy="115570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75640" cy="1078230"/>
                  <wp:effectExtent l="0" t="0" r="0" b="0"/>
                  <wp:wrapNone/>
                  <wp:docPr id="118" name="Picture_438836_SpCnt_319"/>
                  <wp:cNvGraphicFramePr/>
                  <a:graphic xmlns:a="http://schemas.openxmlformats.org/drawingml/2006/main">
                    <a:graphicData uri="http://schemas.openxmlformats.org/drawingml/2006/picture">
                      <pic:pic xmlns:pic="http://schemas.openxmlformats.org/drawingml/2006/picture">
                        <pic:nvPicPr>
                          <pic:cNvPr id="118" name="Picture_438836_SpCnt_319"/>
                          <pic:cNvPicPr/>
                        </pic:nvPicPr>
                        <pic:blipFill>
                          <a:blip r:embed="rId27"/>
                          <a:stretch>
                            <a:fillRect/>
                          </a:stretch>
                        </pic:blipFill>
                        <pic:spPr>
                          <a:xfrm>
                            <a:off x="0" y="0"/>
                            <a:ext cx="675640" cy="107823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75640" cy="1071245"/>
                  <wp:effectExtent l="0" t="0" r="0" b="0"/>
                  <wp:wrapNone/>
                  <wp:docPr id="119" name="Picture_438836_SpCnt_320"/>
                  <wp:cNvGraphicFramePr/>
                  <a:graphic xmlns:a="http://schemas.openxmlformats.org/drawingml/2006/main">
                    <a:graphicData uri="http://schemas.openxmlformats.org/drawingml/2006/picture">
                      <pic:pic xmlns:pic="http://schemas.openxmlformats.org/drawingml/2006/picture">
                        <pic:nvPicPr>
                          <pic:cNvPr id="119" name="Picture_438836_SpCnt_320"/>
                          <pic:cNvPicPr/>
                        </pic:nvPicPr>
                        <pic:blipFill>
                          <a:blip r:embed="rId27"/>
                          <a:stretch>
                            <a:fillRect/>
                          </a:stretch>
                        </pic:blipFill>
                        <pic:spPr>
                          <a:xfrm>
                            <a:off x="0" y="0"/>
                            <a:ext cx="675640" cy="107124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685165" cy="1047115"/>
                  <wp:effectExtent l="0" t="0" r="0" b="0"/>
                  <wp:wrapNone/>
                  <wp:docPr id="120" name="Picture_438836_SpCnt_321"/>
                  <wp:cNvGraphicFramePr/>
                  <a:graphic xmlns:a="http://schemas.openxmlformats.org/drawingml/2006/main">
                    <a:graphicData uri="http://schemas.openxmlformats.org/drawingml/2006/picture">
                      <pic:pic xmlns:pic="http://schemas.openxmlformats.org/drawingml/2006/picture">
                        <pic:nvPicPr>
                          <pic:cNvPr id="120" name="Picture_438836_SpCnt_321"/>
                          <pic:cNvPicPr/>
                        </pic:nvPicPr>
                        <pic:blipFill>
                          <a:blip r:embed="rId27"/>
                          <a:stretch>
                            <a:fillRect/>
                          </a:stretch>
                        </pic:blipFill>
                        <pic:spPr>
                          <a:xfrm>
                            <a:off x="0" y="0"/>
                            <a:ext cx="685165" cy="1047115"/>
                          </a:xfrm>
                          <a:prstGeom prst="rect">
                            <a:avLst/>
                          </a:prstGeom>
                          <a:noFill/>
                          <a:ln>
                            <a:noFill/>
                          </a:ln>
                        </pic:spPr>
                      </pic:pic>
                    </a:graphicData>
                  </a:graphic>
                </wp:anchor>
              </w:drawing>
            </w:r>
          </w:p>
          <w:p w14:paraId="3756BDF2">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lang w:val="en-US" w:eastAsia="zh-CN" w:bidi="ar"/>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综合防灾减灾</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79CAB">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lang w:val="en-US" w:eastAsia="zh-CN" w:bidi="ar"/>
              </w:rPr>
            </w:pPr>
          </w:p>
          <w:p w14:paraId="49D00F37">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bdr w:val="single" w:color="000000" w:sz="4" w:space="0"/>
                <w:shd w:val="clear" w:fill="FFFFFF"/>
                <w:lang w:val="en-US" w:eastAsia="zh-CN" w:bidi="ar"/>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墨玉县</w:t>
            </w:r>
            <w:r>
              <w:rPr>
                <w:rFonts w:hint="eastAsia" w:ascii="方正仿宋_GB2312" w:hAnsi="方正仿宋_GB2312" w:eastAsia="方正仿宋_GB2312" w:cs="方正仿宋_GB2312"/>
                <w:i w:val="0"/>
                <w:iCs w:val="0"/>
                <w:color w:val="000000"/>
                <w:spacing w:val="-6"/>
                <w:kern w:val="0"/>
                <w:sz w:val="24"/>
                <w:szCs w:val="24"/>
                <w:u w:val="none"/>
                <w:bdr w:val="single" w:color="000000" w:sz="4" w:space="0"/>
                <w:shd w:val="clear" w:fill="FFFFFF"/>
                <w:lang w:val="en-US" w:eastAsia="zh-CN" w:bidi="ar"/>
              </w:rPr>
              <w:drawing>
                <wp:anchor distT="0" distB="0" distL="114300" distR="114300" simplePos="0" relativeHeight="251665408" behindDoc="0" locked="0" layoutInCell="1" allowOverlap="1">
                  <wp:simplePos x="0" y="0"/>
                  <wp:positionH relativeFrom="column">
                    <wp:posOffset>623570</wp:posOffset>
                  </wp:positionH>
                  <wp:positionV relativeFrom="paragraph">
                    <wp:posOffset>-258445</wp:posOffset>
                  </wp:positionV>
                  <wp:extent cx="685165" cy="922655"/>
                  <wp:effectExtent l="0" t="0" r="0" b="0"/>
                  <wp:wrapNone/>
                  <wp:docPr id="121" name="Picture_438836_SpCnt_324"/>
                  <wp:cNvGraphicFramePr/>
                  <a:graphic xmlns:a="http://schemas.openxmlformats.org/drawingml/2006/main">
                    <a:graphicData uri="http://schemas.openxmlformats.org/drawingml/2006/picture">
                      <pic:pic xmlns:pic="http://schemas.openxmlformats.org/drawingml/2006/picture">
                        <pic:nvPicPr>
                          <pic:cNvPr id="121" name="Picture_438836_SpCnt_324"/>
                          <pic:cNvPicPr/>
                        </pic:nvPicPr>
                        <pic:blipFill>
                          <a:blip r:embed="rId27"/>
                          <a:stretch>
                            <a:fillRect/>
                          </a:stretch>
                        </pic:blipFill>
                        <pic:spPr>
                          <a:xfrm>
                            <a:off x="0" y="0"/>
                            <a:ext cx="685165" cy="922655"/>
                          </a:xfrm>
                          <a:prstGeom prst="rect">
                            <a:avLst/>
                          </a:prstGeom>
                          <a:noFill/>
                          <a:ln>
                            <a:noFill/>
                          </a:ln>
                        </pic:spPr>
                      </pic:pic>
                    </a:graphicData>
                  </a:graphic>
                </wp:anchor>
              </w:drawing>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D11A3">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p>
          <w:p w14:paraId="6A366CC5">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bdr w:val="single" w:color="000000" w:sz="4" w:space="0"/>
                <w:shd w:val="clear" w:fill="FFFFFF"/>
                <w:lang w:val="en-US" w:eastAsia="zh-CN" w:bidi="ar"/>
              </w:rPr>
              <w:drawing>
                <wp:anchor distT="0" distB="0" distL="114300" distR="114300" simplePos="0" relativeHeight="251666432" behindDoc="0" locked="0" layoutInCell="1" allowOverlap="1">
                  <wp:simplePos x="0" y="0"/>
                  <wp:positionH relativeFrom="column">
                    <wp:posOffset>272415</wp:posOffset>
                  </wp:positionH>
                  <wp:positionV relativeFrom="paragraph">
                    <wp:posOffset>-33655</wp:posOffset>
                  </wp:positionV>
                  <wp:extent cx="685165" cy="979805"/>
                  <wp:effectExtent l="0" t="0" r="0" b="0"/>
                  <wp:wrapNone/>
                  <wp:docPr id="122" name="Picture_438836_SpCnt_326"/>
                  <wp:cNvGraphicFramePr/>
                  <a:graphic xmlns:a="http://schemas.openxmlformats.org/drawingml/2006/main">
                    <a:graphicData uri="http://schemas.openxmlformats.org/drawingml/2006/picture">
                      <pic:pic xmlns:pic="http://schemas.openxmlformats.org/drawingml/2006/picture">
                        <pic:nvPicPr>
                          <pic:cNvPr id="122" name="Picture_438836_SpCnt_326"/>
                          <pic:cNvPicPr/>
                        </pic:nvPicPr>
                        <pic:blipFill>
                          <a:blip r:embed="rId27"/>
                          <a:stretch>
                            <a:fillRect/>
                          </a:stretch>
                        </pic:blipFill>
                        <pic:spPr>
                          <a:xfrm>
                            <a:off x="0" y="0"/>
                            <a:ext cx="685165" cy="979805"/>
                          </a:xfrm>
                          <a:prstGeom prst="rect">
                            <a:avLst/>
                          </a:prstGeom>
                          <a:noFill/>
                          <a:ln>
                            <a:noFill/>
                          </a:ln>
                        </pic:spPr>
                      </pic:pic>
                    </a:graphicData>
                  </a:graphic>
                </wp:anchor>
              </w:drawing>
            </w:r>
            <w:r>
              <w:rPr>
                <w:rFonts w:hint="eastAsia" w:ascii="Times New Roman" w:hAnsi="Times New Roman" w:eastAsia="方正仿宋_GB2312" w:cs="Times New Roman"/>
                <w:i w:val="0"/>
                <w:iCs w:val="0"/>
                <w:color w:val="000000"/>
                <w:spacing w:val="-6"/>
                <w:kern w:val="0"/>
                <w:sz w:val="24"/>
                <w:szCs w:val="24"/>
                <w:u w:val="none"/>
                <w:lang w:val="en-US" w:eastAsia="zh-CN" w:bidi="ar"/>
              </w:rPr>
              <w:t xml:space="preserve">  </w:t>
            </w:r>
            <w:r>
              <w:rPr>
                <w:rFonts w:hint="default" w:ascii="Times New Roman" w:hAnsi="Times New Roman" w:eastAsia="方正仿宋_GB2312" w:cs="Times New Roman"/>
                <w:i w:val="0"/>
                <w:iCs w:val="0"/>
                <w:color w:val="000000"/>
                <w:spacing w:val="-6"/>
                <w:kern w:val="0"/>
                <w:sz w:val="24"/>
                <w:szCs w:val="24"/>
                <w:u w:val="none"/>
                <w:lang w:val="en-US" w:eastAsia="zh-CN" w:bidi="ar"/>
              </w:rPr>
              <w:t>1250</w:t>
            </w: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EFBE9">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153035</wp:posOffset>
                  </wp:positionH>
                  <wp:positionV relativeFrom="paragraph">
                    <wp:posOffset>3810</wp:posOffset>
                  </wp:positionV>
                  <wp:extent cx="685165" cy="969645"/>
                  <wp:effectExtent l="0" t="0" r="0" b="0"/>
                  <wp:wrapNone/>
                  <wp:docPr id="123" name="Picture_438836_SpCnt_345"/>
                  <wp:cNvGraphicFramePr/>
                  <a:graphic xmlns:a="http://schemas.openxmlformats.org/drawingml/2006/main">
                    <a:graphicData uri="http://schemas.openxmlformats.org/drawingml/2006/picture">
                      <pic:pic xmlns:pic="http://schemas.openxmlformats.org/drawingml/2006/picture">
                        <pic:nvPicPr>
                          <pic:cNvPr id="123" name="Picture_438836_SpCnt_345"/>
                          <pic:cNvPicPr/>
                        </pic:nvPicPr>
                        <pic:blipFill>
                          <a:blip r:embed="rId27"/>
                          <a:stretch>
                            <a:fillRect/>
                          </a:stretch>
                        </pic:blipFill>
                        <pic:spPr>
                          <a:xfrm>
                            <a:off x="0" y="0"/>
                            <a:ext cx="685165" cy="96964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-37465</wp:posOffset>
                  </wp:positionH>
                  <wp:positionV relativeFrom="paragraph">
                    <wp:posOffset>0</wp:posOffset>
                  </wp:positionV>
                  <wp:extent cx="685165" cy="929640"/>
                  <wp:effectExtent l="0" t="0" r="0" b="0"/>
                  <wp:wrapNone/>
                  <wp:docPr id="124" name="Picture_438836_SpCnt_347"/>
                  <wp:cNvGraphicFramePr/>
                  <a:graphic xmlns:a="http://schemas.openxmlformats.org/drawingml/2006/main">
                    <a:graphicData uri="http://schemas.openxmlformats.org/drawingml/2006/picture">
                      <pic:pic xmlns:pic="http://schemas.openxmlformats.org/drawingml/2006/picture">
                        <pic:nvPicPr>
                          <pic:cNvPr id="124" name="Picture_438836_SpCnt_347"/>
                          <pic:cNvPicPr/>
                        </pic:nvPicPr>
                        <pic:blipFill>
                          <a:blip r:embed="rId27"/>
                          <a:stretch>
                            <a:fillRect/>
                          </a:stretch>
                        </pic:blipFill>
                        <pic:spPr>
                          <a:xfrm>
                            <a:off x="0" y="0"/>
                            <a:ext cx="685165" cy="92964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704215</wp:posOffset>
                  </wp:positionH>
                  <wp:positionV relativeFrom="paragraph">
                    <wp:posOffset>0</wp:posOffset>
                  </wp:positionV>
                  <wp:extent cx="685165" cy="922655"/>
                  <wp:effectExtent l="0" t="0" r="0" b="0"/>
                  <wp:wrapNone/>
                  <wp:docPr id="125" name="Picture_438836_SpCnt_348"/>
                  <wp:cNvGraphicFramePr/>
                  <a:graphic xmlns:a="http://schemas.openxmlformats.org/drawingml/2006/main">
                    <a:graphicData uri="http://schemas.openxmlformats.org/drawingml/2006/picture">
                      <pic:pic xmlns:pic="http://schemas.openxmlformats.org/drawingml/2006/picture">
                        <pic:nvPicPr>
                          <pic:cNvPr id="125" name="Picture_438836_SpCnt_348"/>
                          <pic:cNvPicPr/>
                        </pic:nvPicPr>
                        <pic:blipFill>
                          <a:blip r:embed="rId27"/>
                          <a:stretch>
                            <a:fillRect/>
                          </a:stretch>
                        </pic:blipFill>
                        <pic:spPr>
                          <a:xfrm>
                            <a:off x="0" y="0"/>
                            <a:ext cx="685165" cy="92265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979805"/>
                  <wp:effectExtent l="0" t="0" r="0" b="0"/>
                  <wp:wrapNone/>
                  <wp:docPr id="126" name="Picture_438836_SpCnt_331"/>
                  <wp:cNvGraphicFramePr/>
                  <a:graphic xmlns:a="http://schemas.openxmlformats.org/drawingml/2006/main">
                    <a:graphicData uri="http://schemas.openxmlformats.org/drawingml/2006/picture">
                      <pic:pic xmlns:pic="http://schemas.openxmlformats.org/drawingml/2006/picture">
                        <pic:nvPicPr>
                          <pic:cNvPr id="126" name="Picture_438836_SpCnt_331"/>
                          <pic:cNvPicPr/>
                        </pic:nvPicPr>
                        <pic:blipFill>
                          <a:blip r:embed="rId27"/>
                          <a:stretch>
                            <a:fillRect/>
                          </a:stretch>
                        </pic:blipFill>
                        <pic:spPr>
                          <a:xfrm>
                            <a:off x="0" y="0"/>
                            <a:ext cx="685165" cy="97980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949325"/>
                  <wp:effectExtent l="0" t="0" r="0" b="0"/>
                  <wp:wrapNone/>
                  <wp:docPr id="127" name="Picture_438836_SpCnt_332"/>
                  <wp:cNvGraphicFramePr/>
                  <a:graphic xmlns:a="http://schemas.openxmlformats.org/drawingml/2006/main">
                    <a:graphicData uri="http://schemas.openxmlformats.org/drawingml/2006/picture">
                      <pic:pic xmlns:pic="http://schemas.openxmlformats.org/drawingml/2006/picture">
                        <pic:nvPicPr>
                          <pic:cNvPr id="127" name="Picture_438836_SpCnt_332"/>
                          <pic:cNvPicPr/>
                        </pic:nvPicPr>
                        <pic:blipFill>
                          <a:blip r:embed="rId27"/>
                          <a:stretch>
                            <a:fillRect/>
                          </a:stretch>
                        </pic:blipFill>
                        <pic:spPr>
                          <a:xfrm>
                            <a:off x="0" y="0"/>
                            <a:ext cx="685165" cy="94932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979805"/>
                  <wp:effectExtent l="0" t="0" r="0" b="0"/>
                  <wp:wrapNone/>
                  <wp:docPr id="128" name="Picture_438836_SpCnt_333"/>
                  <wp:cNvGraphicFramePr/>
                  <a:graphic xmlns:a="http://schemas.openxmlformats.org/drawingml/2006/main">
                    <a:graphicData uri="http://schemas.openxmlformats.org/drawingml/2006/picture">
                      <pic:pic xmlns:pic="http://schemas.openxmlformats.org/drawingml/2006/picture">
                        <pic:nvPicPr>
                          <pic:cNvPr id="128" name="Picture_438836_SpCnt_333"/>
                          <pic:cNvPicPr/>
                        </pic:nvPicPr>
                        <pic:blipFill>
                          <a:blip r:embed="rId27"/>
                          <a:stretch>
                            <a:fillRect/>
                          </a:stretch>
                        </pic:blipFill>
                        <pic:spPr>
                          <a:xfrm>
                            <a:off x="0" y="0"/>
                            <a:ext cx="685165" cy="97980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1007110"/>
                  <wp:effectExtent l="0" t="0" r="0" b="0"/>
                  <wp:wrapNone/>
                  <wp:docPr id="129" name="Picture_438836_SpCnt_334"/>
                  <wp:cNvGraphicFramePr/>
                  <a:graphic xmlns:a="http://schemas.openxmlformats.org/drawingml/2006/main">
                    <a:graphicData uri="http://schemas.openxmlformats.org/drawingml/2006/picture">
                      <pic:pic xmlns:pic="http://schemas.openxmlformats.org/drawingml/2006/picture">
                        <pic:nvPicPr>
                          <pic:cNvPr id="129" name="Picture_438836_SpCnt_334"/>
                          <pic:cNvPicPr/>
                        </pic:nvPicPr>
                        <pic:blipFill>
                          <a:blip r:embed="rId27"/>
                          <a:stretch>
                            <a:fillRect/>
                          </a:stretch>
                        </pic:blipFill>
                        <pic:spPr>
                          <a:xfrm>
                            <a:off x="0" y="0"/>
                            <a:ext cx="685165" cy="100711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969645"/>
                  <wp:effectExtent l="0" t="0" r="0" b="0"/>
                  <wp:wrapNone/>
                  <wp:docPr id="130" name="Picture_438836_SpCnt_335"/>
                  <wp:cNvGraphicFramePr/>
                  <a:graphic xmlns:a="http://schemas.openxmlformats.org/drawingml/2006/main">
                    <a:graphicData uri="http://schemas.openxmlformats.org/drawingml/2006/picture">
                      <pic:pic xmlns:pic="http://schemas.openxmlformats.org/drawingml/2006/picture">
                        <pic:nvPicPr>
                          <pic:cNvPr id="130" name="Picture_438836_SpCnt_335"/>
                          <pic:cNvPicPr/>
                        </pic:nvPicPr>
                        <pic:blipFill>
                          <a:blip r:embed="rId27"/>
                          <a:stretch>
                            <a:fillRect/>
                          </a:stretch>
                        </pic:blipFill>
                        <pic:spPr>
                          <a:xfrm>
                            <a:off x="0" y="0"/>
                            <a:ext cx="685165" cy="96964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959485"/>
                  <wp:effectExtent l="0" t="0" r="0" b="0"/>
                  <wp:wrapNone/>
                  <wp:docPr id="131" name="Picture_438836_SpCnt_336"/>
                  <wp:cNvGraphicFramePr/>
                  <a:graphic xmlns:a="http://schemas.openxmlformats.org/drawingml/2006/main">
                    <a:graphicData uri="http://schemas.openxmlformats.org/drawingml/2006/picture">
                      <pic:pic xmlns:pic="http://schemas.openxmlformats.org/drawingml/2006/picture">
                        <pic:nvPicPr>
                          <pic:cNvPr id="131" name="Picture_438836_SpCnt_336"/>
                          <pic:cNvPicPr/>
                        </pic:nvPicPr>
                        <pic:blipFill>
                          <a:blip r:embed="rId27"/>
                          <a:stretch>
                            <a:fillRect/>
                          </a:stretch>
                        </pic:blipFill>
                        <pic:spPr>
                          <a:xfrm>
                            <a:off x="0" y="0"/>
                            <a:ext cx="685165" cy="95948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969645"/>
                  <wp:effectExtent l="0" t="0" r="0" b="0"/>
                  <wp:wrapNone/>
                  <wp:docPr id="132" name="Picture_438836_SpCnt_337"/>
                  <wp:cNvGraphicFramePr/>
                  <a:graphic xmlns:a="http://schemas.openxmlformats.org/drawingml/2006/main">
                    <a:graphicData uri="http://schemas.openxmlformats.org/drawingml/2006/picture">
                      <pic:pic xmlns:pic="http://schemas.openxmlformats.org/drawingml/2006/picture">
                        <pic:nvPicPr>
                          <pic:cNvPr id="132" name="Picture_438836_SpCnt_337"/>
                          <pic:cNvPicPr/>
                        </pic:nvPicPr>
                        <pic:blipFill>
                          <a:blip r:embed="rId27"/>
                          <a:stretch>
                            <a:fillRect/>
                          </a:stretch>
                        </pic:blipFill>
                        <pic:spPr>
                          <a:xfrm>
                            <a:off x="0" y="0"/>
                            <a:ext cx="685165" cy="96964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939800"/>
                  <wp:effectExtent l="0" t="0" r="0" b="0"/>
                  <wp:wrapNone/>
                  <wp:docPr id="133" name="Picture_438836_SpCnt_338"/>
                  <wp:cNvGraphicFramePr/>
                  <a:graphic xmlns:a="http://schemas.openxmlformats.org/drawingml/2006/main">
                    <a:graphicData uri="http://schemas.openxmlformats.org/drawingml/2006/picture">
                      <pic:pic xmlns:pic="http://schemas.openxmlformats.org/drawingml/2006/picture">
                        <pic:nvPicPr>
                          <pic:cNvPr id="133" name="Picture_438836_SpCnt_338"/>
                          <pic:cNvPicPr/>
                        </pic:nvPicPr>
                        <pic:blipFill>
                          <a:blip r:embed="rId27"/>
                          <a:stretch>
                            <a:fillRect/>
                          </a:stretch>
                        </pic:blipFill>
                        <pic:spPr>
                          <a:xfrm>
                            <a:off x="0" y="0"/>
                            <a:ext cx="685165" cy="93980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1007110"/>
                  <wp:effectExtent l="0" t="0" r="0" b="0"/>
                  <wp:wrapNone/>
                  <wp:docPr id="134" name="Picture_438836_SpCnt_339"/>
                  <wp:cNvGraphicFramePr/>
                  <a:graphic xmlns:a="http://schemas.openxmlformats.org/drawingml/2006/main">
                    <a:graphicData uri="http://schemas.openxmlformats.org/drawingml/2006/picture">
                      <pic:pic xmlns:pic="http://schemas.openxmlformats.org/drawingml/2006/picture">
                        <pic:nvPicPr>
                          <pic:cNvPr id="134" name="Picture_438836_SpCnt_339"/>
                          <pic:cNvPicPr/>
                        </pic:nvPicPr>
                        <pic:blipFill>
                          <a:blip r:embed="rId27"/>
                          <a:stretch>
                            <a:fillRect/>
                          </a:stretch>
                        </pic:blipFill>
                        <pic:spPr>
                          <a:xfrm>
                            <a:off x="0" y="0"/>
                            <a:ext cx="685165" cy="100711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922655"/>
                  <wp:effectExtent l="0" t="0" r="0" b="0"/>
                  <wp:wrapNone/>
                  <wp:docPr id="135" name="Picture_438836_SpCnt_340"/>
                  <wp:cNvGraphicFramePr/>
                  <a:graphic xmlns:a="http://schemas.openxmlformats.org/drawingml/2006/main">
                    <a:graphicData uri="http://schemas.openxmlformats.org/drawingml/2006/picture">
                      <pic:pic xmlns:pic="http://schemas.openxmlformats.org/drawingml/2006/picture">
                        <pic:nvPicPr>
                          <pic:cNvPr id="135" name="Picture_438836_SpCnt_340"/>
                          <pic:cNvPicPr/>
                        </pic:nvPicPr>
                        <pic:blipFill>
                          <a:blip r:embed="rId27"/>
                          <a:stretch>
                            <a:fillRect/>
                          </a:stretch>
                        </pic:blipFill>
                        <pic:spPr>
                          <a:xfrm>
                            <a:off x="0" y="0"/>
                            <a:ext cx="685165" cy="92265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0" locked="0" layoutInCell="1" allowOverlap="1">
                  <wp:simplePos x="0" y="0"/>
                  <wp:positionH relativeFrom="column">
                    <wp:posOffset>9525</wp:posOffset>
                  </wp:positionH>
                  <wp:positionV relativeFrom="paragraph">
                    <wp:posOffset>0</wp:posOffset>
                  </wp:positionV>
                  <wp:extent cx="685165" cy="929640"/>
                  <wp:effectExtent l="0" t="0" r="0" b="0"/>
                  <wp:wrapNone/>
                  <wp:docPr id="136" name="Picture_438836_SpCnt_341"/>
                  <wp:cNvGraphicFramePr/>
                  <a:graphic xmlns:a="http://schemas.openxmlformats.org/drawingml/2006/main">
                    <a:graphicData uri="http://schemas.openxmlformats.org/drawingml/2006/picture">
                      <pic:pic xmlns:pic="http://schemas.openxmlformats.org/drawingml/2006/picture">
                        <pic:nvPicPr>
                          <pic:cNvPr id="136" name="Picture_438836_SpCnt_341"/>
                          <pic:cNvPicPr/>
                        </pic:nvPicPr>
                        <pic:blipFill>
                          <a:blip r:embed="rId27"/>
                          <a:stretch>
                            <a:fillRect/>
                          </a:stretch>
                        </pic:blipFill>
                        <pic:spPr>
                          <a:xfrm>
                            <a:off x="0" y="0"/>
                            <a:ext cx="685165" cy="92964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7456" behindDoc="1" locked="0" layoutInCell="1" allowOverlap="1">
                  <wp:simplePos x="0" y="0"/>
                  <wp:positionH relativeFrom="column">
                    <wp:posOffset>9525</wp:posOffset>
                  </wp:positionH>
                  <wp:positionV relativeFrom="paragraph">
                    <wp:posOffset>0</wp:posOffset>
                  </wp:positionV>
                  <wp:extent cx="685165" cy="939800"/>
                  <wp:effectExtent l="0" t="0" r="0" b="0"/>
                  <wp:wrapNone/>
                  <wp:docPr id="137" name="Picture_438836_SpCnt_346"/>
                  <wp:cNvGraphicFramePr/>
                  <a:graphic xmlns:a="http://schemas.openxmlformats.org/drawingml/2006/main">
                    <a:graphicData uri="http://schemas.openxmlformats.org/drawingml/2006/picture">
                      <pic:pic xmlns:pic="http://schemas.openxmlformats.org/drawingml/2006/picture">
                        <pic:nvPicPr>
                          <pic:cNvPr id="137" name="Picture_438836_SpCnt_346"/>
                          <pic:cNvPicPr/>
                        </pic:nvPicPr>
                        <pic:blipFill>
                          <a:blip r:embed="rId27"/>
                          <a:stretch>
                            <a:fillRect/>
                          </a:stretch>
                        </pic:blipFill>
                        <pic:spPr>
                          <a:xfrm>
                            <a:off x="0" y="0"/>
                            <a:ext cx="685165" cy="93980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2"/>
                <w:sz w:val="24"/>
                <w:szCs w:val="24"/>
                <w:u w:val="none"/>
                <w:lang w:val="en-US" w:eastAsia="zh-CN" w:bidi="ar-SA"/>
              </w:rPr>
              <w:t>一般债券</w:t>
            </w:r>
            <w:r>
              <w:rPr>
                <w:rFonts w:hint="eastAsia" w:ascii="Times New Roman" w:hAnsi="Times New Roman" w:eastAsia="方正仿宋_GB2312" w:cs="Times New Roman"/>
                <w:i w:val="0"/>
                <w:iCs w:val="0"/>
                <w:color w:val="000000"/>
                <w:spacing w:val="-6"/>
                <w:kern w:val="2"/>
                <w:sz w:val="24"/>
                <w:szCs w:val="24"/>
                <w:u w:val="none"/>
                <w:lang w:val="en-US" w:eastAsia="zh-CN" w:bidi="ar-SA"/>
              </w:rPr>
              <w:t>1000万元；其他资金250万元。</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4CAAF">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p>
          <w:p w14:paraId="63268CB6">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bdr w:val="single" w:color="000000" w:sz="4" w:space="0"/>
                <w:shd w:val="clear" w:fill="FFFFFF"/>
                <w:lang w:val="en-US" w:eastAsia="zh-CN" w:bidi="ar"/>
              </w:rPr>
              <w:drawing>
                <wp:anchor distT="0" distB="0" distL="114300" distR="114300" simplePos="0" relativeHeight="251668480" behindDoc="0" locked="0" layoutInCell="1" allowOverlap="1">
                  <wp:simplePos x="0" y="0"/>
                  <wp:positionH relativeFrom="column">
                    <wp:posOffset>9525</wp:posOffset>
                  </wp:positionH>
                  <wp:positionV relativeFrom="paragraph">
                    <wp:posOffset>0</wp:posOffset>
                  </wp:positionV>
                  <wp:extent cx="685165" cy="969645"/>
                  <wp:effectExtent l="0" t="0" r="0" b="0"/>
                  <wp:wrapNone/>
                  <wp:docPr id="138" name="Picture_438836_SpCnt_355"/>
                  <wp:cNvGraphicFramePr/>
                  <a:graphic xmlns:a="http://schemas.openxmlformats.org/drawingml/2006/main">
                    <a:graphicData uri="http://schemas.openxmlformats.org/drawingml/2006/picture">
                      <pic:pic xmlns:pic="http://schemas.openxmlformats.org/drawingml/2006/picture">
                        <pic:nvPicPr>
                          <pic:cNvPr id="138" name="Picture_438836_SpCnt_355"/>
                          <pic:cNvPicPr/>
                        </pic:nvPicPr>
                        <pic:blipFill>
                          <a:blip r:embed="rId27"/>
                          <a:stretch>
                            <a:fillRect/>
                          </a:stretch>
                        </pic:blipFill>
                        <pic:spPr>
                          <a:xfrm>
                            <a:off x="0" y="0"/>
                            <a:ext cx="685165" cy="969645"/>
                          </a:xfrm>
                          <a:prstGeom prst="rect">
                            <a:avLst/>
                          </a:prstGeom>
                          <a:noFill/>
                          <a:ln>
                            <a:noFill/>
                          </a:ln>
                        </pic:spPr>
                      </pic:pic>
                    </a:graphicData>
                  </a:graphic>
                </wp:anchor>
              </w:drawing>
            </w:r>
            <w:r>
              <w:rPr>
                <w:rFonts w:hint="default" w:ascii="Times New Roman" w:hAnsi="Times New Roman" w:eastAsia="方正仿宋_GB2312" w:cs="Times New Roman"/>
                <w:i w:val="0"/>
                <w:iCs w:val="0"/>
                <w:color w:val="000000"/>
                <w:spacing w:val="-6"/>
                <w:kern w:val="0"/>
                <w:sz w:val="24"/>
                <w:szCs w:val="24"/>
                <w:u w:val="none"/>
                <w:bdr w:val="single" w:color="000000" w:sz="4" w:space="0"/>
                <w:shd w:val="clear" w:fill="FFFFFF"/>
                <w:lang w:val="en-US" w:eastAsia="zh-CN" w:bidi="ar"/>
              </w:rPr>
              <w:drawing>
                <wp:anchor distT="0" distB="0" distL="114300" distR="114300" simplePos="0" relativeHeight="251668480" behindDoc="0" locked="0" layoutInCell="1" allowOverlap="1">
                  <wp:simplePos x="0" y="0"/>
                  <wp:positionH relativeFrom="column">
                    <wp:posOffset>9525</wp:posOffset>
                  </wp:positionH>
                  <wp:positionV relativeFrom="paragraph">
                    <wp:posOffset>0</wp:posOffset>
                  </wp:positionV>
                  <wp:extent cx="685165" cy="949325"/>
                  <wp:effectExtent l="0" t="0" r="0" b="0"/>
                  <wp:wrapNone/>
                  <wp:docPr id="139" name="Picture_438836_SpCnt_356"/>
                  <wp:cNvGraphicFramePr/>
                  <a:graphic xmlns:a="http://schemas.openxmlformats.org/drawingml/2006/main">
                    <a:graphicData uri="http://schemas.openxmlformats.org/drawingml/2006/picture">
                      <pic:pic xmlns:pic="http://schemas.openxmlformats.org/drawingml/2006/picture">
                        <pic:nvPicPr>
                          <pic:cNvPr id="139" name="Picture_438836_SpCnt_356"/>
                          <pic:cNvPicPr/>
                        </pic:nvPicPr>
                        <pic:blipFill>
                          <a:blip r:embed="rId27"/>
                          <a:stretch>
                            <a:fillRect/>
                          </a:stretch>
                        </pic:blipFill>
                        <pic:spPr>
                          <a:xfrm>
                            <a:off x="0" y="0"/>
                            <a:ext cx="685165" cy="949325"/>
                          </a:xfrm>
                          <a:prstGeom prst="rect">
                            <a:avLst/>
                          </a:prstGeom>
                          <a:noFill/>
                          <a:ln>
                            <a:noFill/>
                          </a:ln>
                        </pic:spPr>
                      </pic:pic>
                    </a:graphicData>
                  </a:graphic>
                </wp:anchor>
              </w:drawing>
            </w:r>
            <w:r>
              <w:rPr>
                <w:rFonts w:hint="default" w:ascii="Times New Roman" w:hAnsi="Times New Roman" w:eastAsia="方正仿宋_GB2312" w:cs="Times New Roman"/>
                <w:i w:val="0"/>
                <w:iCs w:val="0"/>
                <w:color w:val="000000"/>
                <w:spacing w:val="-6"/>
                <w:kern w:val="0"/>
                <w:sz w:val="24"/>
                <w:szCs w:val="24"/>
                <w:u w:val="none"/>
                <w:bdr w:val="single" w:color="000000" w:sz="4" w:space="0"/>
                <w:shd w:val="clear" w:fill="FFFFFF"/>
                <w:lang w:val="en-US" w:eastAsia="zh-CN" w:bidi="ar"/>
              </w:rPr>
              <w:drawing>
                <wp:anchor distT="0" distB="0" distL="114300" distR="114300" simplePos="0" relativeHeight="251668480" behindDoc="0" locked="0" layoutInCell="1" allowOverlap="1">
                  <wp:simplePos x="0" y="0"/>
                  <wp:positionH relativeFrom="column">
                    <wp:posOffset>9525</wp:posOffset>
                  </wp:positionH>
                  <wp:positionV relativeFrom="paragraph">
                    <wp:posOffset>0</wp:posOffset>
                  </wp:positionV>
                  <wp:extent cx="685165" cy="1007110"/>
                  <wp:effectExtent l="0" t="0" r="0" b="0"/>
                  <wp:wrapNone/>
                  <wp:docPr id="140" name="Picture_438836_SpCnt_357"/>
                  <wp:cNvGraphicFramePr/>
                  <a:graphic xmlns:a="http://schemas.openxmlformats.org/drawingml/2006/main">
                    <a:graphicData uri="http://schemas.openxmlformats.org/drawingml/2006/picture">
                      <pic:pic xmlns:pic="http://schemas.openxmlformats.org/drawingml/2006/picture">
                        <pic:nvPicPr>
                          <pic:cNvPr id="140" name="Picture_438836_SpCnt_357"/>
                          <pic:cNvPicPr/>
                        </pic:nvPicPr>
                        <pic:blipFill>
                          <a:blip r:embed="rId27"/>
                          <a:stretch>
                            <a:fillRect/>
                          </a:stretch>
                        </pic:blipFill>
                        <pic:spPr>
                          <a:xfrm>
                            <a:off x="0" y="0"/>
                            <a:ext cx="685165" cy="1007110"/>
                          </a:xfrm>
                          <a:prstGeom prst="rect">
                            <a:avLst/>
                          </a:prstGeom>
                          <a:noFill/>
                          <a:ln>
                            <a:noFill/>
                          </a:ln>
                        </pic:spPr>
                      </pic:pic>
                    </a:graphicData>
                  </a:graphic>
                </wp:anchor>
              </w:drawing>
            </w:r>
            <w:r>
              <w:rPr>
                <w:rFonts w:hint="default" w:ascii="Times New Roman" w:hAnsi="Times New Roman" w:eastAsia="方正仿宋_GB2312" w:cs="Times New Roman"/>
                <w:i w:val="0"/>
                <w:iCs w:val="0"/>
                <w:color w:val="000000"/>
                <w:spacing w:val="-6"/>
                <w:kern w:val="0"/>
                <w:sz w:val="24"/>
                <w:szCs w:val="24"/>
                <w:u w:val="none"/>
                <w:bdr w:val="single" w:color="000000" w:sz="4" w:space="0"/>
                <w:shd w:val="clear" w:fill="FFFFFF"/>
                <w:lang w:val="en-US" w:eastAsia="zh-CN" w:bidi="ar"/>
              </w:rPr>
              <w:drawing>
                <wp:anchor distT="0" distB="0" distL="114300" distR="114300" simplePos="0" relativeHeight="251668480" behindDoc="0" locked="0" layoutInCell="1" allowOverlap="1">
                  <wp:simplePos x="0" y="0"/>
                  <wp:positionH relativeFrom="column">
                    <wp:posOffset>9525</wp:posOffset>
                  </wp:positionH>
                  <wp:positionV relativeFrom="paragraph">
                    <wp:posOffset>0</wp:posOffset>
                  </wp:positionV>
                  <wp:extent cx="685165" cy="929640"/>
                  <wp:effectExtent l="0" t="0" r="0" b="0"/>
                  <wp:wrapNone/>
                  <wp:docPr id="141" name="Picture_438836_SpCnt_358"/>
                  <wp:cNvGraphicFramePr/>
                  <a:graphic xmlns:a="http://schemas.openxmlformats.org/drawingml/2006/main">
                    <a:graphicData uri="http://schemas.openxmlformats.org/drawingml/2006/picture">
                      <pic:pic xmlns:pic="http://schemas.openxmlformats.org/drawingml/2006/picture">
                        <pic:nvPicPr>
                          <pic:cNvPr id="141" name="Picture_438836_SpCnt_358"/>
                          <pic:cNvPicPr/>
                        </pic:nvPicPr>
                        <pic:blipFill>
                          <a:blip r:embed="rId27"/>
                          <a:stretch>
                            <a:fillRect/>
                          </a:stretch>
                        </pic:blipFill>
                        <pic:spPr>
                          <a:xfrm>
                            <a:off x="0" y="0"/>
                            <a:ext cx="685165" cy="929640"/>
                          </a:xfrm>
                          <a:prstGeom prst="rect">
                            <a:avLst/>
                          </a:prstGeom>
                          <a:noFill/>
                          <a:ln>
                            <a:noFill/>
                          </a:ln>
                        </pic:spPr>
                      </pic:pic>
                    </a:graphicData>
                  </a:graphic>
                </wp:anchor>
              </w:drawing>
            </w:r>
            <w:r>
              <w:rPr>
                <w:rFonts w:hint="default" w:ascii="Times New Roman" w:hAnsi="Times New Roman" w:eastAsia="方正仿宋_GB2312" w:cs="Times New Roman"/>
                <w:i w:val="0"/>
                <w:iCs w:val="0"/>
                <w:color w:val="000000"/>
                <w:spacing w:val="-6"/>
                <w:kern w:val="0"/>
                <w:sz w:val="24"/>
                <w:szCs w:val="24"/>
                <w:u w:val="none"/>
                <w:bdr w:val="single" w:color="000000" w:sz="4" w:space="0"/>
                <w:shd w:val="clear" w:fill="FFFFFF"/>
                <w:lang w:val="en-US" w:eastAsia="zh-CN" w:bidi="ar"/>
              </w:rPr>
              <w:drawing>
                <wp:anchor distT="0" distB="0" distL="114300" distR="114300" simplePos="0" relativeHeight="251668480" behindDoc="0" locked="0" layoutInCell="1" allowOverlap="1">
                  <wp:simplePos x="0" y="0"/>
                  <wp:positionH relativeFrom="column">
                    <wp:posOffset>9525</wp:posOffset>
                  </wp:positionH>
                  <wp:positionV relativeFrom="paragraph">
                    <wp:posOffset>0</wp:posOffset>
                  </wp:positionV>
                  <wp:extent cx="685165" cy="959485"/>
                  <wp:effectExtent l="0" t="0" r="0" b="0"/>
                  <wp:wrapNone/>
                  <wp:docPr id="142" name="Picture_438836_SpCnt_359"/>
                  <wp:cNvGraphicFramePr/>
                  <a:graphic xmlns:a="http://schemas.openxmlformats.org/drawingml/2006/main">
                    <a:graphicData uri="http://schemas.openxmlformats.org/drawingml/2006/picture">
                      <pic:pic xmlns:pic="http://schemas.openxmlformats.org/drawingml/2006/picture">
                        <pic:nvPicPr>
                          <pic:cNvPr id="142" name="Picture_438836_SpCnt_359"/>
                          <pic:cNvPicPr/>
                        </pic:nvPicPr>
                        <pic:blipFill>
                          <a:blip r:embed="rId27"/>
                          <a:stretch>
                            <a:fillRect/>
                          </a:stretch>
                        </pic:blipFill>
                        <pic:spPr>
                          <a:xfrm>
                            <a:off x="0" y="0"/>
                            <a:ext cx="685165" cy="959485"/>
                          </a:xfrm>
                          <a:prstGeom prst="rect">
                            <a:avLst/>
                          </a:prstGeom>
                          <a:noFill/>
                          <a:ln>
                            <a:noFill/>
                          </a:ln>
                        </pic:spPr>
                      </pic:pic>
                    </a:graphicData>
                  </a:graphic>
                </wp:anchor>
              </w:drawing>
            </w:r>
            <w:r>
              <w:rPr>
                <w:rFonts w:hint="default" w:ascii="Times New Roman" w:hAnsi="Times New Roman" w:eastAsia="方正仿宋_GB2312" w:cs="Times New Roman"/>
                <w:i w:val="0"/>
                <w:iCs w:val="0"/>
                <w:color w:val="000000"/>
                <w:spacing w:val="-6"/>
                <w:kern w:val="0"/>
                <w:sz w:val="24"/>
                <w:szCs w:val="24"/>
                <w:u w:val="none"/>
                <w:lang w:val="en-US" w:eastAsia="zh-CN" w:bidi="ar"/>
              </w:rPr>
              <w:t>2026</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EC4DA">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2026</w:t>
            </w:r>
          </w:p>
        </w:tc>
      </w:tr>
      <w:tr w14:paraId="05EA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53ECE">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2</w:t>
            </w:r>
          </w:p>
        </w:tc>
        <w:tc>
          <w:tcPr>
            <w:tcW w:w="3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20BC7">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综合应急指挥中心建设项目</w:t>
            </w:r>
          </w:p>
        </w:tc>
        <w:tc>
          <w:tcPr>
            <w:tcW w:w="17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FF8DA">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lang w:val="en-US" w:eastAsia="zh-CN" w:bidi="ar"/>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应急体系建设</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83605">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bdr w:val="single" w:color="000000" w:sz="4" w:space="0"/>
                <w:shd w:val="clear" w:fill="FFFFFF"/>
                <w:lang w:val="en-US" w:eastAsia="zh-CN" w:bidi="ar"/>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墨玉县</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65A21">
            <w:pPr>
              <w:keepNext w:val="0"/>
              <w:keepLines w:val="0"/>
              <w:widowControl/>
              <w:suppressLineNumbers w:val="0"/>
              <w:ind w:firstLine="456" w:firstLineChars="200"/>
              <w:jc w:val="both"/>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7000</w:t>
            </w: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F9EAA">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超长期国债</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783AE">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202</w:t>
            </w:r>
            <w:r>
              <w:rPr>
                <w:rFonts w:hint="eastAsia" w:ascii="Times New Roman" w:hAnsi="Times New Roman" w:eastAsia="方正仿宋_GB2312" w:cs="Times New Roman"/>
                <w:i w:val="0"/>
                <w:iCs w:val="0"/>
                <w:color w:val="000000"/>
                <w:spacing w:val="-6"/>
                <w:kern w:val="0"/>
                <w:sz w:val="24"/>
                <w:szCs w:val="24"/>
                <w:u w:val="none"/>
                <w:lang w:val="en-US" w:eastAsia="zh-CN" w:bidi="ar"/>
              </w:rPr>
              <w:t>7</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22FE7">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2027</w:t>
            </w:r>
          </w:p>
        </w:tc>
      </w:tr>
      <w:tr w14:paraId="67442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8EA22">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3</w:t>
            </w:r>
          </w:p>
        </w:tc>
        <w:tc>
          <w:tcPr>
            <w:tcW w:w="3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0D227">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气象防灾减灾综合能力提升项目</w:t>
            </w:r>
          </w:p>
        </w:tc>
        <w:tc>
          <w:tcPr>
            <w:tcW w:w="17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9C046">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综合防灾减灾</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9BE1C">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墨玉县</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1879B">
            <w:pPr>
              <w:keepNext w:val="0"/>
              <w:keepLines w:val="0"/>
              <w:widowControl/>
              <w:suppressLineNumbers w:val="0"/>
              <w:ind w:firstLine="456" w:firstLineChars="200"/>
              <w:jc w:val="both"/>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2500</w:t>
            </w: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3DBEF">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援疆资金</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58EF3">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202</w:t>
            </w:r>
            <w:r>
              <w:rPr>
                <w:rFonts w:hint="eastAsia" w:ascii="Times New Roman" w:hAnsi="Times New Roman" w:eastAsia="方正仿宋_GB2312" w:cs="Times New Roman"/>
                <w:i w:val="0"/>
                <w:iCs w:val="0"/>
                <w:color w:val="000000"/>
                <w:spacing w:val="-6"/>
                <w:kern w:val="0"/>
                <w:sz w:val="24"/>
                <w:szCs w:val="24"/>
                <w:u w:val="none"/>
                <w:lang w:val="en-US" w:eastAsia="zh-CN" w:bidi="ar"/>
              </w:rPr>
              <w:t>8</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778B3">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2028</w:t>
            </w:r>
          </w:p>
        </w:tc>
      </w:tr>
      <w:tr w14:paraId="2DEE6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4" w:hRule="atLeast"/>
        </w:trPr>
        <w:tc>
          <w:tcPr>
            <w:tcW w:w="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67955">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4</w:t>
            </w:r>
          </w:p>
        </w:tc>
        <w:tc>
          <w:tcPr>
            <w:tcW w:w="3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96BA3">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应急物资储备项目</w:t>
            </w:r>
          </w:p>
        </w:tc>
        <w:tc>
          <w:tcPr>
            <w:tcW w:w="17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FE706">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安全生产</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7375A">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墨玉县</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B86D0">
            <w:pPr>
              <w:keepNext w:val="0"/>
              <w:keepLines w:val="0"/>
              <w:widowControl/>
              <w:suppressLineNumbers w:val="0"/>
              <w:ind w:left="0" w:leftChars="0" w:firstLine="456" w:firstLineChars="200"/>
              <w:jc w:val="both"/>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2000</w:t>
            </w: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55A7">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2"/>
                <w:sz w:val="24"/>
                <w:szCs w:val="24"/>
                <w:u w:val="none"/>
                <w:lang w:val="en-US" w:eastAsia="zh-CN" w:bidi="ar-SA"/>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援疆资金</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69D8E">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2029</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D3ACE">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2"/>
                <w:sz w:val="24"/>
                <w:szCs w:val="24"/>
                <w:u w:val="none"/>
                <w:lang w:val="en-US" w:eastAsia="zh-CN" w:bidi="ar-SA"/>
              </w:rPr>
            </w:pPr>
            <w:r>
              <w:rPr>
                <w:rFonts w:hint="default" w:ascii="Times New Roman" w:hAnsi="Times New Roman" w:eastAsia="方正仿宋_GB2312" w:cs="Times New Roman"/>
                <w:i w:val="0"/>
                <w:iCs w:val="0"/>
                <w:color w:val="000000"/>
                <w:spacing w:val="-6"/>
                <w:kern w:val="0"/>
                <w:sz w:val="24"/>
                <w:szCs w:val="24"/>
                <w:u w:val="none"/>
                <w:lang w:val="en-US" w:eastAsia="zh-CN" w:bidi="ar"/>
              </w:rPr>
              <w:t>2029</w:t>
            </w:r>
          </w:p>
        </w:tc>
      </w:tr>
      <w:tr w14:paraId="649F6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5" w:hRule="atLeast"/>
        </w:trPr>
        <w:tc>
          <w:tcPr>
            <w:tcW w:w="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9D71B">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5</w:t>
            </w:r>
          </w:p>
        </w:tc>
        <w:tc>
          <w:tcPr>
            <w:tcW w:w="34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D24C6">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应急平台前端感知设备数字化、智能化升级工程</w:t>
            </w:r>
          </w:p>
        </w:tc>
        <w:tc>
          <w:tcPr>
            <w:tcW w:w="17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DCC3F">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z w:val="24"/>
                <w:szCs w:val="24"/>
                <w:u w:val="none"/>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科技和信息化</w:t>
            </w:r>
          </w:p>
        </w:tc>
        <w:tc>
          <w:tcPr>
            <w:tcW w:w="13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4F5ED3">
            <w:pPr>
              <w:keepNext w:val="0"/>
              <w:keepLines w:val="0"/>
              <w:widowControl/>
              <w:suppressLineNumbers w:val="0"/>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lang w:val="en-US" w:eastAsia="zh-CN" w:bidi="ar"/>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墨玉县</w:t>
            </w:r>
          </w:p>
        </w:tc>
        <w:tc>
          <w:tcPr>
            <w:tcW w:w="12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7D8C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r>
              <w:rPr>
                <w:rFonts w:hint="default" w:ascii="Times New Roman" w:hAnsi="Times New Roman" w:eastAsia="方正仿宋_GB2312" w:cs="Times New Roman"/>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29640"/>
                  <wp:effectExtent l="0" t="0" r="0" b="0"/>
                  <wp:wrapNone/>
                  <wp:docPr id="1057" name="Picture_438836_SpCnt_686"/>
                  <wp:cNvGraphicFramePr/>
                  <a:graphic xmlns:a="http://schemas.openxmlformats.org/drawingml/2006/main">
                    <a:graphicData uri="http://schemas.openxmlformats.org/drawingml/2006/picture">
                      <pic:pic xmlns:pic="http://schemas.openxmlformats.org/drawingml/2006/picture">
                        <pic:nvPicPr>
                          <pic:cNvPr id="1057" name="Picture_438836_SpCnt_686"/>
                          <pic:cNvPicPr/>
                        </pic:nvPicPr>
                        <pic:blipFill>
                          <a:blip r:embed="rId27"/>
                          <a:stretch>
                            <a:fillRect/>
                          </a:stretch>
                        </pic:blipFill>
                        <pic:spPr>
                          <a:xfrm>
                            <a:off x="0" y="0"/>
                            <a:ext cx="685165" cy="929640"/>
                          </a:xfrm>
                          <a:prstGeom prst="rect">
                            <a:avLst/>
                          </a:prstGeom>
                          <a:noFill/>
                          <a:ln>
                            <a:noFill/>
                          </a:ln>
                        </pic:spPr>
                      </pic:pic>
                    </a:graphicData>
                  </a:graphic>
                </wp:anchor>
              </w:drawing>
            </w:r>
            <w:r>
              <w:rPr>
                <w:rFonts w:hint="default" w:ascii="Times New Roman" w:hAnsi="Times New Roman" w:eastAsia="方正仿宋_GB2312" w:cs="Times New Roman"/>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1007110"/>
                  <wp:effectExtent l="0" t="0" r="0" b="0"/>
                  <wp:wrapNone/>
                  <wp:docPr id="1082" name="Picture_438836_SpCnt_687"/>
                  <wp:cNvGraphicFramePr/>
                  <a:graphic xmlns:a="http://schemas.openxmlformats.org/drawingml/2006/main">
                    <a:graphicData uri="http://schemas.openxmlformats.org/drawingml/2006/picture">
                      <pic:pic xmlns:pic="http://schemas.openxmlformats.org/drawingml/2006/picture">
                        <pic:nvPicPr>
                          <pic:cNvPr id="1082" name="Picture_438836_SpCnt_687"/>
                          <pic:cNvPicPr/>
                        </pic:nvPicPr>
                        <pic:blipFill>
                          <a:blip r:embed="rId27"/>
                          <a:stretch>
                            <a:fillRect/>
                          </a:stretch>
                        </pic:blipFill>
                        <pic:spPr>
                          <a:xfrm>
                            <a:off x="0" y="0"/>
                            <a:ext cx="685165" cy="1007110"/>
                          </a:xfrm>
                          <a:prstGeom prst="rect">
                            <a:avLst/>
                          </a:prstGeom>
                          <a:noFill/>
                          <a:ln>
                            <a:noFill/>
                          </a:ln>
                        </pic:spPr>
                      </pic:pic>
                    </a:graphicData>
                  </a:graphic>
                </wp:anchor>
              </w:drawing>
            </w:r>
            <w:r>
              <w:rPr>
                <w:rFonts w:hint="default" w:ascii="Times New Roman" w:hAnsi="Times New Roman" w:eastAsia="方正仿宋_GB2312" w:cs="Times New Roman"/>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79805"/>
                  <wp:effectExtent l="0" t="0" r="0" b="0"/>
                  <wp:wrapNone/>
                  <wp:docPr id="1080" name="Picture_438836_SpCnt_688"/>
                  <wp:cNvGraphicFramePr/>
                  <a:graphic xmlns:a="http://schemas.openxmlformats.org/drawingml/2006/main">
                    <a:graphicData uri="http://schemas.openxmlformats.org/drawingml/2006/picture">
                      <pic:pic xmlns:pic="http://schemas.openxmlformats.org/drawingml/2006/picture">
                        <pic:nvPicPr>
                          <pic:cNvPr id="1080" name="Picture_438836_SpCnt_688"/>
                          <pic:cNvPicPr/>
                        </pic:nvPicPr>
                        <pic:blipFill>
                          <a:blip r:embed="rId27"/>
                          <a:stretch>
                            <a:fillRect/>
                          </a:stretch>
                        </pic:blipFill>
                        <pic:spPr>
                          <a:xfrm>
                            <a:off x="0" y="0"/>
                            <a:ext cx="685165" cy="979805"/>
                          </a:xfrm>
                          <a:prstGeom prst="rect">
                            <a:avLst/>
                          </a:prstGeom>
                          <a:noFill/>
                          <a:ln>
                            <a:noFill/>
                          </a:ln>
                        </pic:spPr>
                      </pic:pic>
                    </a:graphicData>
                  </a:graphic>
                </wp:anchor>
              </w:drawing>
            </w:r>
            <w:r>
              <w:rPr>
                <w:rFonts w:hint="default" w:ascii="Times New Roman" w:hAnsi="Times New Roman" w:eastAsia="方正仿宋_GB2312" w:cs="Times New Roman"/>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22655"/>
                  <wp:effectExtent l="0" t="0" r="0" b="0"/>
                  <wp:wrapNone/>
                  <wp:docPr id="1091" name="Picture_438836_SpCnt_689"/>
                  <wp:cNvGraphicFramePr/>
                  <a:graphic xmlns:a="http://schemas.openxmlformats.org/drawingml/2006/main">
                    <a:graphicData uri="http://schemas.openxmlformats.org/drawingml/2006/picture">
                      <pic:pic xmlns:pic="http://schemas.openxmlformats.org/drawingml/2006/picture">
                        <pic:nvPicPr>
                          <pic:cNvPr id="1091" name="Picture_438836_SpCnt_689"/>
                          <pic:cNvPicPr/>
                        </pic:nvPicPr>
                        <pic:blipFill>
                          <a:blip r:embed="rId27"/>
                          <a:stretch>
                            <a:fillRect/>
                          </a:stretch>
                        </pic:blipFill>
                        <pic:spPr>
                          <a:xfrm>
                            <a:off x="0" y="0"/>
                            <a:ext cx="685165" cy="922655"/>
                          </a:xfrm>
                          <a:prstGeom prst="rect">
                            <a:avLst/>
                          </a:prstGeom>
                          <a:noFill/>
                          <a:ln>
                            <a:noFill/>
                          </a:ln>
                        </pic:spPr>
                      </pic:pic>
                    </a:graphicData>
                  </a:graphic>
                </wp:anchor>
              </w:drawing>
            </w:r>
            <w:r>
              <w:rPr>
                <w:rFonts w:hint="default" w:ascii="Times New Roman" w:hAnsi="Times New Roman" w:eastAsia="方正仿宋_GB2312" w:cs="Times New Roman"/>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69645"/>
                  <wp:effectExtent l="0" t="0" r="0" b="0"/>
                  <wp:wrapNone/>
                  <wp:docPr id="1083" name="Picture_438836_SpCnt_690"/>
                  <wp:cNvGraphicFramePr/>
                  <a:graphic xmlns:a="http://schemas.openxmlformats.org/drawingml/2006/main">
                    <a:graphicData uri="http://schemas.openxmlformats.org/drawingml/2006/picture">
                      <pic:pic xmlns:pic="http://schemas.openxmlformats.org/drawingml/2006/picture">
                        <pic:nvPicPr>
                          <pic:cNvPr id="1083" name="Picture_438836_SpCnt_690"/>
                          <pic:cNvPicPr/>
                        </pic:nvPicPr>
                        <pic:blipFill>
                          <a:blip r:embed="rId27"/>
                          <a:stretch>
                            <a:fillRect/>
                          </a:stretch>
                        </pic:blipFill>
                        <pic:spPr>
                          <a:xfrm>
                            <a:off x="0" y="0"/>
                            <a:ext cx="685165" cy="969645"/>
                          </a:xfrm>
                          <a:prstGeom prst="rect">
                            <a:avLst/>
                          </a:prstGeom>
                          <a:noFill/>
                          <a:ln>
                            <a:noFill/>
                          </a:ln>
                        </pic:spPr>
                      </pic:pic>
                    </a:graphicData>
                  </a:graphic>
                </wp:anchor>
              </w:drawing>
            </w:r>
          </w:p>
          <w:p w14:paraId="49DDB8F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p>
          <w:p w14:paraId="5B8D650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r>
              <w:rPr>
                <w:rFonts w:hint="eastAsia" w:ascii="Times New Roman" w:hAnsi="Times New Roman" w:eastAsia="方正仿宋_GB2312" w:cs="Times New Roman"/>
                <w:i w:val="0"/>
                <w:iCs w:val="0"/>
                <w:color w:val="000000"/>
                <w:spacing w:val="-6"/>
                <w:kern w:val="0"/>
                <w:sz w:val="24"/>
                <w:szCs w:val="24"/>
                <w:u w:val="none"/>
                <w:lang w:val="en-US" w:eastAsia="zh-CN" w:bidi="ar"/>
              </w:rPr>
              <w:t xml:space="preserve">  </w:t>
            </w:r>
            <w:r>
              <w:rPr>
                <w:rFonts w:hint="default" w:ascii="Times New Roman" w:hAnsi="Times New Roman" w:eastAsia="方正仿宋_GB2312" w:cs="Times New Roman"/>
                <w:i w:val="0"/>
                <w:iCs w:val="0"/>
                <w:color w:val="000000"/>
                <w:spacing w:val="-6"/>
                <w:kern w:val="0"/>
                <w:sz w:val="24"/>
                <w:szCs w:val="24"/>
                <w:u w:val="none"/>
                <w:lang w:val="en-US" w:eastAsia="zh-CN" w:bidi="ar"/>
              </w:rPr>
              <w:t>2000</w:t>
            </w:r>
          </w:p>
          <w:p w14:paraId="648FD5C0">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p>
        </w:tc>
        <w:tc>
          <w:tcPr>
            <w:tcW w:w="16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E07CE">
            <w:pPr>
              <w:keepNext w:val="0"/>
              <w:keepLines w:val="0"/>
              <w:widowControl/>
              <w:suppressLineNumbers w:val="0"/>
              <w:spacing w:line="24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lang w:val="en-US" w:eastAsia="zh-CN" w:bidi="ar"/>
              </w:rPr>
            </w:pPr>
          </w:p>
          <w:p w14:paraId="430AA609">
            <w:pPr>
              <w:keepNext w:val="0"/>
              <w:keepLines w:val="0"/>
              <w:widowControl/>
              <w:suppressLineNumbers w:val="0"/>
              <w:spacing w:line="24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lang w:val="en-US" w:eastAsia="zh-CN" w:bidi="ar"/>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69645"/>
                  <wp:effectExtent l="0" t="0" r="0" b="0"/>
                  <wp:wrapNone/>
                  <wp:docPr id="1084" name="Picture_438836_SpCnt_694"/>
                  <wp:cNvGraphicFramePr/>
                  <a:graphic xmlns:a="http://schemas.openxmlformats.org/drawingml/2006/main">
                    <a:graphicData uri="http://schemas.openxmlformats.org/drawingml/2006/picture">
                      <pic:pic xmlns:pic="http://schemas.openxmlformats.org/drawingml/2006/picture">
                        <pic:nvPicPr>
                          <pic:cNvPr id="1084" name="Picture_438836_SpCnt_694"/>
                          <pic:cNvPicPr/>
                        </pic:nvPicPr>
                        <pic:blipFill>
                          <a:blip r:embed="rId27"/>
                          <a:stretch>
                            <a:fillRect/>
                          </a:stretch>
                        </pic:blipFill>
                        <pic:spPr>
                          <a:xfrm>
                            <a:off x="0" y="0"/>
                            <a:ext cx="685165" cy="96964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79805"/>
                  <wp:effectExtent l="0" t="0" r="0" b="0"/>
                  <wp:wrapNone/>
                  <wp:docPr id="1086" name="Picture_438836_SpCnt_695"/>
                  <wp:cNvGraphicFramePr/>
                  <a:graphic xmlns:a="http://schemas.openxmlformats.org/drawingml/2006/main">
                    <a:graphicData uri="http://schemas.openxmlformats.org/drawingml/2006/picture">
                      <pic:pic xmlns:pic="http://schemas.openxmlformats.org/drawingml/2006/picture">
                        <pic:nvPicPr>
                          <pic:cNvPr id="1086" name="Picture_438836_SpCnt_695"/>
                          <pic:cNvPicPr/>
                        </pic:nvPicPr>
                        <pic:blipFill>
                          <a:blip r:embed="rId27"/>
                          <a:stretch>
                            <a:fillRect/>
                          </a:stretch>
                        </pic:blipFill>
                        <pic:spPr>
                          <a:xfrm>
                            <a:off x="0" y="0"/>
                            <a:ext cx="685165" cy="97980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49325"/>
                  <wp:effectExtent l="0" t="0" r="0" b="0"/>
                  <wp:wrapNone/>
                  <wp:docPr id="1088" name="Picture_438836_SpCnt_696"/>
                  <wp:cNvGraphicFramePr/>
                  <a:graphic xmlns:a="http://schemas.openxmlformats.org/drawingml/2006/main">
                    <a:graphicData uri="http://schemas.openxmlformats.org/drawingml/2006/picture">
                      <pic:pic xmlns:pic="http://schemas.openxmlformats.org/drawingml/2006/picture">
                        <pic:nvPicPr>
                          <pic:cNvPr id="1088" name="Picture_438836_SpCnt_696"/>
                          <pic:cNvPicPr/>
                        </pic:nvPicPr>
                        <pic:blipFill>
                          <a:blip r:embed="rId27"/>
                          <a:stretch>
                            <a:fillRect/>
                          </a:stretch>
                        </pic:blipFill>
                        <pic:spPr>
                          <a:xfrm>
                            <a:off x="0" y="0"/>
                            <a:ext cx="685165" cy="94932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22655"/>
                  <wp:effectExtent l="0" t="0" r="0" b="0"/>
                  <wp:wrapNone/>
                  <wp:docPr id="1108" name="Picture_438836_SpCnt_697"/>
                  <wp:cNvGraphicFramePr/>
                  <a:graphic xmlns:a="http://schemas.openxmlformats.org/drawingml/2006/main">
                    <a:graphicData uri="http://schemas.openxmlformats.org/drawingml/2006/picture">
                      <pic:pic xmlns:pic="http://schemas.openxmlformats.org/drawingml/2006/picture">
                        <pic:nvPicPr>
                          <pic:cNvPr id="1108" name="Picture_438836_SpCnt_697"/>
                          <pic:cNvPicPr/>
                        </pic:nvPicPr>
                        <pic:blipFill>
                          <a:blip r:embed="rId27"/>
                          <a:stretch>
                            <a:fillRect/>
                          </a:stretch>
                        </pic:blipFill>
                        <pic:spPr>
                          <a:xfrm>
                            <a:off x="0" y="0"/>
                            <a:ext cx="685165" cy="92265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22655"/>
                  <wp:effectExtent l="0" t="0" r="0" b="0"/>
                  <wp:wrapNone/>
                  <wp:docPr id="1087" name="Picture_438836_SpCnt_698"/>
                  <wp:cNvGraphicFramePr/>
                  <a:graphic xmlns:a="http://schemas.openxmlformats.org/drawingml/2006/main">
                    <a:graphicData uri="http://schemas.openxmlformats.org/drawingml/2006/picture">
                      <pic:pic xmlns:pic="http://schemas.openxmlformats.org/drawingml/2006/picture">
                        <pic:nvPicPr>
                          <pic:cNvPr id="1087" name="Picture_438836_SpCnt_698"/>
                          <pic:cNvPicPr/>
                        </pic:nvPicPr>
                        <pic:blipFill>
                          <a:blip r:embed="rId27"/>
                          <a:stretch>
                            <a:fillRect/>
                          </a:stretch>
                        </pic:blipFill>
                        <pic:spPr>
                          <a:xfrm>
                            <a:off x="0" y="0"/>
                            <a:ext cx="685165" cy="92265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49325"/>
                  <wp:effectExtent l="0" t="0" r="0" b="0"/>
                  <wp:wrapNone/>
                  <wp:docPr id="1089" name="Picture_438836_SpCnt_699"/>
                  <wp:cNvGraphicFramePr/>
                  <a:graphic xmlns:a="http://schemas.openxmlformats.org/drawingml/2006/main">
                    <a:graphicData uri="http://schemas.openxmlformats.org/drawingml/2006/picture">
                      <pic:pic xmlns:pic="http://schemas.openxmlformats.org/drawingml/2006/picture">
                        <pic:nvPicPr>
                          <pic:cNvPr id="1089" name="Picture_438836_SpCnt_699"/>
                          <pic:cNvPicPr/>
                        </pic:nvPicPr>
                        <pic:blipFill>
                          <a:blip r:embed="rId27"/>
                          <a:stretch>
                            <a:fillRect/>
                          </a:stretch>
                        </pic:blipFill>
                        <pic:spPr>
                          <a:xfrm>
                            <a:off x="0" y="0"/>
                            <a:ext cx="685165" cy="94932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59485"/>
                  <wp:effectExtent l="0" t="0" r="0" b="0"/>
                  <wp:wrapNone/>
                  <wp:docPr id="1090" name="Picture_438836_SpCnt_700"/>
                  <wp:cNvGraphicFramePr/>
                  <a:graphic xmlns:a="http://schemas.openxmlformats.org/drawingml/2006/main">
                    <a:graphicData uri="http://schemas.openxmlformats.org/drawingml/2006/picture">
                      <pic:pic xmlns:pic="http://schemas.openxmlformats.org/drawingml/2006/picture">
                        <pic:nvPicPr>
                          <pic:cNvPr id="1090" name="Picture_438836_SpCnt_700"/>
                          <pic:cNvPicPr/>
                        </pic:nvPicPr>
                        <pic:blipFill>
                          <a:blip r:embed="rId27"/>
                          <a:stretch>
                            <a:fillRect/>
                          </a:stretch>
                        </pic:blipFill>
                        <pic:spPr>
                          <a:xfrm>
                            <a:off x="0" y="0"/>
                            <a:ext cx="685165" cy="95948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29640"/>
                  <wp:effectExtent l="0" t="0" r="0" b="0"/>
                  <wp:wrapNone/>
                  <wp:docPr id="1103" name="Picture_438836_SpCnt_701"/>
                  <wp:cNvGraphicFramePr/>
                  <a:graphic xmlns:a="http://schemas.openxmlformats.org/drawingml/2006/main">
                    <a:graphicData uri="http://schemas.openxmlformats.org/drawingml/2006/picture">
                      <pic:pic xmlns:pic="http://schemas.openxmlformats.org/drawingml/2006/picture">
                        <pic:nvPicPr>
                          <pic:cNvPr id="1103" name="Picture_438836_SpCnt_701"/>
                          <pic:cNvPicPr/>
                        </pic:nvPicPr>
                        <pic:blipFill>
                          <a:blip r:embed="rId27"/>
                          <a:stretch>
                            <a:fillRect/>
                          </a:stretch>
                        </pic:blipFill>
                        <pic:spPr>
                          <a:xfrm>
                            <a:off x="0" y="0"/>
                            <a:ext cx="685165" cy="92964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29640"/>
                  <wp:effectExtent l="0" t="0" r="0" b="0"/>
                  <wp:wrapNone/>
                  <wp:docPr id="1105" name="Picture_438836_SpCnt_702"/>
                  <wp:cNvGraphicFramePr/>
                  <a:graphic xmlns:a="http://schemas.openxmlformats.org/drawingml/2006/main">
                    <a:graphicData uri="http://schemas.openxmlformats.org/drawingml/2006/picture">
                      <pic:pic xmlns:pic="http://schemas.openxmlformats.org/drawingml/2006/picture">
                        <pic:nvPicPr>
                          <pic:cNvPr id="1105" name="Picture_438836_SpCnt_702"/>
                          <pic:cNvPicPr/>
                        </pic:nvPicPr>
                        <pic:blipFill>
                          <a:blip r:embed="rId27"/>
                          <a:stretch>
                            <a:fillRect/>
                          </a:stretch>
                        </pic:blipFill>
                        <pic:spPr>
                          <a:xfrm>
                            <a:off x="0" y="0"/>
                            <a:ext cx="685165" cy="92964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59485"/>
                  <wp:effectExtent l="0" t="0" r="0" b="0"/>
                  <wp:wrapNone/>
                  <wp:docPr id="1092" name="Picture_438836_SpCnt_703"/>
                  <wp:cNvGraphicFramePr/>
                  <a:graphic xmlns:a="http://schemas.openxmlformats.org/drawingml/2006/main">
                    <a:graphicData uri="http://schemas.openxmlformats.org/drawingml/2006/picture">
                      <pic:pic xmlns:pic="http://schemas.openxmlformats.org/drawingml/2006/picture">
                        <pic:nvPicPr>
                          <pic:cNvPr id="1092" name="Picture_438836_SpCnt_703"/>
                          <pic:cNvPicPr/>
                        </pic:nvPicPr>
                        <pic:blipFill>
                          <a:blip r:embed="rId27"/>
                          <a:stretch>
                            <a:fillRect/>
                          </a:stretch>
                        </pic:blipFill>
                        <pic:spPr>
                          <a:xfrm>
                            <a:off x="0" y="0"/>
                            <a:ext cx="685165" cy="95948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69645"/>
                  <wp:effectExtent l="0" t="0" r="0" b="0"/>
                  <wp:wrapNone/>
                  <wp:docPr id="1093" name="Picture_438836_SpCnt_704"/>
                  <wp:cNvGraphicFramePr/>
                  <a:graphic xmlns:a="http://schemas.openxmlformats.org/drawingml/2006/main">
                    <a:graphicData uri="http://schemas.openxmlformats.org/drawingml/2006/picture">
                      <pic:pic xmlns:pic="http://schemas.openxmlformats.org/drawingml/2006/picture">
                        <pic:nvPicPr>
                          <pic:cNvPr id="1093" name="Picture_438836_SpCnt_704"/>
                          <pic:cNvPicPr/>
                        </pic:nvPicPr>
                        <pic:blipFill>
                          <a:blip r:embed="rId27"/>
                          <a:stretch>
                            <a:fillRect/>
                          </a:stretch>
                        </pic:blipFill>
                        <pic:spPr>
                          <a:xfrm>
                            <a:off x="0" y="0"/>
                            <a:ext cx="685165" cy="969645"/>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39800"/>
                  <wp:effectExtent l="0" t="0" r="0" b="0"/>
                  <wp:wrapNone/>
                  <wp:docPr id="1081" name="Picture_438836_SpCnt_705"/>
                  <wp:cNvGraphicFramePr/>
                  <a:graphic xmlns:a="http://schemas.openxmlformats.org/drawingml/2006/main">
                    <a:graphicData uri="http://schemas.openxmlformats.org/drawingml/2006/picture">
                      <pic:pic xmlns:pic="http://schemas.openxmlformats.org/drawingml/2006/picture">
                        <pic:nvPicPr>
                          <pic:cNvPr id="1081" name="Picture_438836_SpCnt_705"/>
                          <pic:cNvPicPr/>
                        </pic:nvPicPr>
                        <pic:blipFill>
                          <a:blip r:embed="rId27"/>
                          <a:stretch>
                            <a:fillRect/>
                          </a:stretch>
                        </pic:blipFill>
                        <pic:spPr>
                          <a:xfrm>
                            <a:off x="0" y="0"/>
                            <a:ext cx="685165" cy="93980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1007110"/>
                  <wp:effectExtent l="0" t="0" r="0" b="0"/>
                  <wp:wrapNone/>
                  <wp:docPr id="1098" name="Picture_438836_SpCnt_706"/>
                  <wp:cNvGraphicFramePr/>
                  <a:graphic xmlns:a="http://schemas.openxmlformats.org/drawingml/2006/main">
                    <a:graphicData uri="http://schemas.openxmlformats.org/drawingml/2006/picture">
                      <pic:pic xmlns:pic="http://schemas.openxmlformats.org/drawingml/2006/picture">
                        <pic:nvPicPr>
                          <pic:cNvPr id="1098" name="Picture_438836_SpCnt_706"/>
                          <pic:cNvPicPr/>
                        </pic:nvPicPr>
                        <pic:blipFill>
                          <a:blip r:embed="rId27"/>
                          <a:stretch>
                            <a:fillRect/>
                          </a:stretch>
                        </pic:blipFill>
                        <pic:spPr>
                          <a:xfrm>
                            <a:off x="0" y="0"/>
                            <a:ext cx="685165" cy="1007110"/>
                          </a:xfrm>
                          <a:prstGeom prst="rect">
                            <a:avLst/>
                          </a:prstGeom>
                          <a:noFill/>
                          <a:ln>
                            <a:noFill/>
                          </a:ln>
                        </pic:spPr>
                      </pic:pic>
                    </a:graphicData>
                  </a:graphic>
                </wp:anchor>
              </w:drawing>
            </w: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9525</wp:posOffset>
                  </wp:positionH>
                  <wp:positionV relativeFrom="paragraph">
                    <wp:posOffset>0</wp:posOffset>
                  </wp:positionV>
                  <wp:extent cx="685165" cy="979805"/>
                  <wp:effectExtent l="0" t="0" r="0" b="0"/>
                  <wp:wrapNone/>
                  <wp:docPr id="1094" name="Picture_438836_SpCnt_707"/>
                  <wp:cNvGraphicFramePr/>
                  <a:graphic xmlns:a="http://schemas.openxmlformats.org/drawingml/2006/main">
                    <a:graphicData uri="http://schemas.openxmlformats.org/drawingml/2006/picture">
                      <pic:pic xmlns:pic="http://schemas.openxmlformats.org/drawingml/2006/picture">
                        <pic:nvPicPr>
                          <pic:cNvPr id="1094" name="Picture_438836_SpCnt_707"/>
                          <pic:cNvPicPr/>
                        </pic:nvPicPr>
                        <pic:blipFill>
                          <a:blip r:embed="rId27"/>
                          <a:stretch>
                            <a:fillRect/>
                          </a:stretch>
                        </pic:blipFill>
                        <pic:spPr>
                          <a:xfrm>
                            <a:off x="0" y="0"/>
                            <a:ext cx="685165" cy="979805"/>
                          </a:xfrm>
                          <a:prstGeom prst="rect">
                            <a:avLst/>
                          </a:prstGeom>
                          <a:noFill/>
                          <a:ln>
                            <a:noFill/>
                          </a:ln>
                        </pic:spPr>
                      </pic:pic>
                    </a:graphicData>
                  </a:graphic>
                </wp:anchor>
              </w:drawing>
            </w:r>
          </w:p>
          <w:p w14:paraId="45397E26">
            <w:pPr>
              <w:keepNext w:val="0"/>
              <w:keepLines w:val="0"/>
              <w:widowControl/>
              <w:suppressLineNumbers w:val="0"/>
              <w:spacing w:line="240" w:lineRule="auto"/>
              <w:ind w:left="0" w:leftChars="0" w:firstLine="0" w:firstLineChars="0"/>
              <w:jc w:val="center"/>
              <w:textAlignment w:val="center"/>
              <w:rPr>
                <w:rFonts w:hint="eastAsia" w:ascii="方正仿宋_GB2312" w:hAnsi="方正仿宋_GB2312" w:eastAsia="方正仿宋_GB2312" w:cs="方正仿宋_GB2312"/>
                <w:i w:val="0"/>
                <w:iCs w:val="0"/>
                <w:color w:val="000000"/>
                <w:spacing w:val="-6"/>
                <w:kern w:val="0"/>
                <w:sz w:val="24"/>
                <w:szCs w:val="24"/>
                <w:u w:val="none"/>
                <w:lang w:val="en-US" w:eastAsia="zh-CN" w:bidi="ar"/>
              </w:rPr>
            </w:pPr>
            <w:r>
              <w:rPr>
                <w:rFonts w:hint="eastAsia" w:ascii="方正仿宋_GB2312" w:hAnsi="方正仿宋_GB2312" w:eastAsia="方正仿宋_GB2312" w:cs="方正仿宋_GB2312"/>
                <w:i w:val="0"/>
                <w:iCs w:val="0"/>
                <w:color w:val="000000"/>
                <w:spacing w:val="-6"/>
                <w:kern w:val="0"/>
                <w:sz w:val="24"/>
                <w:szCs w:val="24"/>
                <w:u w:val="none"/>
                <w:lang w:val="en-US" w:eastAsia="zh-CN" w:bidi="ar"/>
              </w:rPr>
              <w:t>一般债券</w:t>
            </w:r>
          </w:p>
        </w:tc>
        <w:tc>
          <w:tcPr>
            <w:tcW w:w="142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609B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p>
          <w:p w14:paraId="4E70B1B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r>
              <w:rPr>
                <w:rFonts w:hint="default" w:ascii="Times New Roman" w:hAnsi="Times New Roman" w:eastAsia="方正仿宋_GB2312" w:cs="Times New Roman"/>
                <w:i w:val="0"/>
                <w:iCs w:val="0"/>
                <w:color w:val="000000"/>
                <w:spacing w:val="-6"/>
                <w:kern w:val="0"/>
                <w:sz w:val="24"/>
                <w:szCs w:val="24"/>
                <w:u w:val="none"/>
                <w:lang w:val="en-US" w:eastAsia="zh-CN" w:bidi="ar"/>
              </w:rPr>
              <w:drawing>
                <wp:anchor distT="0" distB="0" distL="114300" distR="114300" simplePos="0" relativeHeight="251659264" behindDoc="0" locked="0" layoutInCell="1" allowOverlap="1">
                  <wp:simplePos x="0" y="0"/>
                  <wp:positionH relativeFrom="column">
                    <wp:posOffset>9525</wp:posOffset>
                  </wp:positionH>
                  <wp:positionV relativeFrom="paragraph">
                    <wp:posOffset>0</wp:posOffset>
                  </wp:positionV>
                  <wp:extent cx="685165" cy="969645"/>
                  <wp:effectExtent l="0" t="0" r="0" b="0"/>
                  <wp:wrapNone/>
                  <wp:docPr id="1106" name="Picture_438836_SpCnt_710"/>
                  <wp:cNvGraphicFramePr/>
                  <a:graphic xmlns:a="http://schemas.openxmlformats.org/drawingml/2006/main">
                    <a:graphicData uri="http://schemas.openxmlformats.org/drawingml/2006/picture">
                      <pic:pic xmlns:pic="http://schemas.openxmlformats.org/drawingml/2006/picture">
                        <pic:nvPicPr>
                          <pic:cNvPr id="1106" name="Picture_438836_SpCnt_710"/>
                          <pic:cNvPicPr/>
                        </pic:nvPicPr>
                        <pic:blipFill>
                          <a:blip r:embed="rId27"/>
                          <a:stretch>
                            <a:fillRect/>
                          </a:stretch>
                        </pic:blipFill>
                        <pic:spPr>
                          <a:xfrm>
                            <a:off x="0" y="0"/>
                            <a:ext cx="685165" cy="969645"/>
                          </a:xfrm>
                          <a:prstGeom prst="rect">
                            <a:avLst/>
                          </a:prstGeom>
                          <a:noFill/>
                          <a:ln>
                            <a:noFill/>
                          </a:ln>
                        </pic:spPr>
                      </pic:pic>
                    </a:graphicData>
                  </a:graphic>
                </wp:anchor>
              </w:drawing>
            </w:r>
          </w:p>
          <w:p w14:paraId="0436D97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r>
              <w:rPr>
                <w:rFonts w:hint="default" w:ascii="Times New Roman" w:hAnsi="Times New Roman" w:eastAsia="方正仿宋_GB2312" w:cs="Times New Roman"/>
                <w:i w:val="0"/>
                <w:iCs w:val="0"/>
                <w:color w:val="000000"/>
                <w:spacing w:val="-6"/>
                <w:kern w:val="0"/>
                <w:sz w:val="24"/>
                <w:szCs w:val="24"/>
                <w:u w:val="none"/>
                <w:lang w:val="en-US" w:eastAsia="zh-CN" w:bidi="ar"/>
              </w:rPr>
              <w:t>2029</w:t>
            </w:r>
          </w:p>
        </w:tc>
        <w:tc>
          <w:tcPr>
            <w:tcW w:w="13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3250D">
            <w:pPr>
              <w:keepNext w:val="0"/>
              <w:keepLines w:val="0"/>
              <w:widowControl/>
              <w:suppressLineNumbers w:val="0"/>
              <w:ind w:left="0" w:leftChars="0" w:firstLine="0" w:firstLineChars="0"/>
              <w:jc w:val="center"/>
              <w:textAlignment w:val="center"/>
              <w:rPr>
                <w:rFonts w:hint="default" w:ascii="Times New Roman" w:hAnsi="Times New Roman" w:eastAsia="方正仿宋_GB2312" w:cs="Times New Roman"/>
                <w:i w:val="0"/>
                <w:iCs w:val="0"/>
                <w:color w:val="000000"/>
                <w:spacing w:val="-6"/>
                <w:kern w:val="0"/>
                <w:sz w:val="24"/>
                <w:szCs w:val="24"/>
                <w:u w:val="none"/>
                <w:lang w:val="en-US" w:eastAsia="zh-CN" w:bidi="ar"/>
              </w:rPr>
            </w:pPr>
            <w:r>
              <w:rPr>
                <w:rFonts w:hint="default" w:ascii="Times New Roman" w:hAnsi="Times New Roman" w:eastAsia="方正仿宋_GB2312" w:cs="Times New Roman"/>
                <w:i w:val="0"/>
                <w:iCs w:val="0"/>
                <w:color w:val="000000"/>
                <w:spacing w:val="-6"/>
                <w:kern w:val="0"/>
                <w:sz w:val="24"/>
                <w:szCs w:val="24"/>
                <w:u w:val="none"/>
                <w:lang w:val="en-US" w:eastAsia="zh-CN" w:bidi="ar"/>
              </w:rPr>
              <w:t>2029</w:t>
            </w:r>
          </w:p>
        </w:tc>
      </w:tr>
    </w:tbl>
    <w:p w14:paraId="1454141A">
      <w:pPr>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0"/>
        <w:rPr>
          <w:rFonts w:hint="default" w:ascii="黑体" w:hAnsi="黑体" w:eastAsia="黑体" w:cs="黑体"/>
          <w:snapToGrid w:val="0"/>
          <w:color w:val="auto"/>
          <w:spacing w:val="14"/>
          <w:kern w:val="0"/>
          <w:sz w:val="32"/>
          <w:szCs w:val="32"/>
          <w:lang w:val="en-US" w:eastAsia="zh-CN"/>
        </w:rPr>
        <w:sectPr>
          <w:pgSz w:w="16838" w:h="11906" w:orient="landscape"/>
          <w:pgMar w:top="1587" w:right="2098" w:bottom="1474" w:left="1984" w:header="851" w:footer="992" w:gutter="0"/>
          <w:pgNumType w:fmt="decimal"/>
          <w:cols w:space="720" w:num="1"/>
          <w:rtlGutter w:val="0"/>
          <w:docGrid w:type="linesAndChars" w:linePitch="579" w:charSpace="0"/>
        </w:sectPr>
      </w:pPr>
      <w:r>
        <w:rPr>
          <w:rFonts w:hint="eastAsia" w:ascii="宋体" w:hAnsi="宋体" w:eastAsia="宋体" w:cs="宋体"/>
          <w:i w:val="0"/>
          <w:iCs w:val="0"/>
          <w:color w:val="000000"/>
          <w:spacing w:val="-6"/>
          <w:kern w:val="0"/>
          <w:sz w:val="24"/>
          <w:szCs w:val="24"/>
          <w:u w:val="none"/>
          <w:lang w:val="en-US" w:eastAsia="zh-CN" w:bidi="ar"/>
        </w:rPr>
        <w:drawing>
          <wp:anchor distT="0" distB="0" distL="114300" distR="114300" simplePos="0" relativeHeight="251660288" behindDoc="0" locked="0" layoutInCell="1" allowOverlap="1">
            <wp:simplePos x="0" y="0"/>
            <wp:positionH relativeFrom="column">
              <wp:posOffset>7919720</wp:posOffset>
            </wp:positionH>
            <wp:positionV relativeFrom="paragraph">
              <wp:posOffset>4902835</wp:posOffset>
            </wp:positionV>
            <wp:extent cx="685165" cy="959485"/>
            <wp:effectExtent l="0" t="0" r="0" b="0"/>
            <wp:wrapNone/>
            <wp:docPr id="1110" name="Picture_438836_SpCnt_717"/>
            <wp:cNvGraphicFramePr/>
            <a:graphic xmlns:a="http://schemas.openxmlformats.org/drawingml/2006/main">
              <a:graphicData uri="http://schemas.openxmlformats.org/drawingml/2006/picture">
                <pic:pic xmlns:pic="http://schemas.openxmlformats.org/drawingml/2006/picture">
                  <pic:nvPicPr>
                    <pic:cNvPr id="1110" name="Picture_438836_SpCnt_717"/>
                    <pic:cNvPicPr/>
                  </pic:nvPicPr>
                  <pic:blipFill>
                    <a:blip r:embed="rId27"/>
                    <a:stretch>
                      <a:fillRect/>
                    </a:stretch>
                  </pic:blipFill>
                  <pic:spPr>
                    <a:xfrm>
                      <a:off x="0" y="0"/>
                      <a:ext cx="685165" cy="959485"/>
                    </a:xfrm>
                    <a:prstGeom prst="rect">
                      <a:avLst/>
                    </a:prstGeom>
                    <a:noFill/>
                    <a:ln>
                      <a:noFill/>
                    </a:ln>
                  </pic:spPr>
                </pic:pic>
              </a:graphicData>
            </a:graphic>
          </wp:anchor>
        </w:drawing>
      </w:r>
    </w:p>
    <w:p w14:paraId="37C4E842">
      <w:pPr>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center"/>
        <w:textAlignment w:val="baseline"/>
        <w:outlineLvl w:val="0"/>
        <w:rPr>
          <w:rFonts w:hint="eastAsia" w:ascii="黑体" w:hAnsi="黑体" w:eastAsia="黑体" w:cs="黑体"/>
          <w:snapToGrid w:val="0"/>
          <w:color w:val="auto"/>
          <w:spacing w:val="14"/>
          <w:kern w:val="0"/>
          <w:sz w:val="32"/>
          <w:szCs w:val="32"/>
          <w:lang w:val="en-US" w:eastAsia="zh-CN"/>
        </w:rPr>
      </w:pPr>
      <w:r>
        <w:rPr>
          <w:rFonts w:hint="eastAsia" w:ascii="黑体" w:hAnsi="黑体" w:eastAsia="黑体" w:cs="黑体"/>
          <w:snapToGrid w:val="0"/>
          <w:color w:val="auto"/>
          <w:spacing w:val="14"/>
          <w:kern w:val="0"/>
          <w:sz w:val="32"/>
          <w:szCs w:val="32"/>
          <w:lang w:val="en-US" w:eastAsia="zh-CN"/>
        </w:rPr>
        <w:t>第五章  保障措施</w:t>
      </w:r>
      <w:bookmarkEnd w:id="75"/>
      <w:bookmarkEnd w:id="76"/>
      <w:bookmarkEnd w:id="77"/>
    </w:p>
    <w:p w14:paraId="5C7D6C6B">
      <w:pPr>
        <w:keepNext w:val="0"/>
        <w:keepLines w:val="0"/>
        <w:pageBreakBefore w:val="0"/>
        <w:widowControl/>
        <w:kinsoku w:val="0"/>
        <w:wordWrap/>
        <w:overflowPunct/>
        <w:topLinePunct w:val="0"/>
        <w:autoSpaceDE w:val="0"/>
        <w:autoSpaceDN w:val="0"/>
        <w:bidi w:val="0"/>
        <w:adjustRightInd w:val="0"/>
        <w:snapToGrid w:val="0"/>
        <w:spacing w:afterLines="0" w:afterAutospacing="0" w:line="560" w:lineRule="exact"/>
        <w:ind w:right="0" w:firstLine="2934" w:firstLineChars="900"/>
        <w:jc w:val="both"/>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bookmarkStart w:id="78" w:name="_Toc4598"/>
      <w:bookmarkStart w:id="79" w:name="_Toc26095"/>
      <w:bookmarkStart w:id="80" w:name="_Toc5578"/>
      <w:r>
        <w:rPr>
          <w:rFonts w:hint="eastAsia" w:ascii="方正楷体简体" w:hAnsi="方正楷体简体" w:eastAsia="方正楷体简体" w:cs="方正楷体简体"/>
          <w:b/>
          <w:bCs/>
          <w:snapToGrid w:val="0"/>
          <w:color w:val="auto"/>
          <w:spacing w:val="3"/>
          <w:kern w:val="0"/>
          <w:sz w:val="32"/>
          <w:szCs w:val="32"/>
          <w:lang w:val="en-US" w:eastAsia="zh-CN"/>
        </w:rPr>
        <w:t xml:space="preserve">第一节  </w:t>
      </w:r>
      <w:r>
        <w:rPr>
          <w:rFonts w:hint="default" w:ascii="方正楷体简体" w:hAnsi="方正楷体简体" w:eastAsia="方正楷体简体" w:cs="方正楷体简体"/>
          <w:b/>
          <w:bCs/>
          <w:snapToGrid w:val="0"/>
          <w:color w:val="auto"/>
          <w:spacing w:val="3"/>
          <w:kern w:val="0"/>
          <w:sz w:val="32"/>
          <w:szCs w:val="32"/>
          <w:lang w:val="en-US" w:eastAsia="zh-CN"/>
        </w:rPr>
        <w:t>组织保障</w:t>
      </w:r>
      <w:bookmarkEnd w:id="78"/>
      <w:bookmarkEnd w:id="79"/>
      <w:bookmarkEnd w:id="80"/>
      <w:bookmarkStart w:id="81" w:name="_Toc13840"/>
    </w:p>
    <w:p w14:paraId="32BE8586">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r>
        <w:rPr>
          <w:rFonts w:hint="eastAsia" w:ascii="楷体" w:hAnsi="楷体" w:eastAsia="楷体" w:cs="楷体"/>
          <w:b/>
          <w:bCs/>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一、健全领导机制</w:t>
      </w:r>
    </w:p>
    <w:p w14:paraId="01D0716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按照“统一指挥、综合协调、分类管理、分级负责、属地为主”的原则，进一步优化县应急管理机构职能和运行机制，理顺应急管理与行业监管、行政执法之间的关系，推动形成权责清晰、运转高效的应急管理体制。</w:t>
      </w:r>
      <w:bookmarkEnd w:id="81"/>
    </w:p>
    <w:p w14:paraId="4693F646">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82" w:name="_Toc23881"/>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二、压实部门和属地责任</w:t>
      </w:r>
    </w:p>
    <w:p w14:paraId="46D6797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细化完善县直各部门、乡镇（街办、园区）在安全生产、防灾减灾救灾、综合应急等方面的职责清单，做到任务到岗、责任到人。严格落实属地管理责任、部门监管责任和企业主体责任。</w:t>
      </w:r>
      <w:bookmarkEnd w:id="82"/>
    </w:p>
    <w:p w14:paraId="633EC0D3">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snapToGrid w:val="0"/>
          <w:color w:val="auto"/>
          <w:spacing w:val="9"/>
          <w:kern w:val="0"/>
          <w:sz w:val="32"/>
          <w:szCs w:val="32"/>
          <w:lang w:val="en-US" w:eastAsia="zh-CN" w:bidi="ar-SA"/>
        </w:rPr>
      </w:pPr>
      <w:bookmarkStart w:id="83" w:name="_Toc4037"/>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三、强化统筹协调和督办落实</w:t>
      </w:r>
    </w:p>
    <w:p w14:paraId="21C51CE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20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建立应急管理规划实施联席会议制度，定期研究推进重大事项和重点工程。政策研究室、发改委、应急等部门要加强对规划落实情况的跟踪分析和综合协调，对进展缓慢、落实不到位的事项实行台账管理、挂牌督办。</w:t>
      </w:r>
      <w:bookmarkEnd w:id="83"/>
    </w:p>
    <w:p w14:paraId="124E685F">
      <w:pPr>
        <w:pStyle w:val="4"/>
        <w:pageBreakBefore w:val="0"/>
        <w:widowControl/>
        <w:numPr>
          <w:ilvl w:val="1"/>
          <w:numId w:val="0"/>
        </w:numPr>
        <w:wordWrap/>
        <w:overflowPunct/>
        <w:topLinePunct w:val="0"/>
        <w:bidi w:val="0"/>
        <w:adjustRightInd w:val="0"/>
        <w:snapToGrid w:val="0"/>
        <w:spacing w:afterAutospacing="0" w:line="560" w:lineRule="exact"/>
        <w:ind w:left="0" w:right="0" w:firstLine="0" w:firstLineChars="0"/>
        <w:jc w:val="center"/>
        <w:rPr>
          <w:rFonts w:hint="eastAsia" w:ascii="方正楷体简体" w:hAnsi="方正楷体简体" w:eastAsia="方正楷体简体" w:cs="方正楷体简体"/>
          <w:b/>
          <w:bCs/>
          <w:snapToGrid w:val="0"/>
          <w:color w:val="auto"/>
          <w:spacing w:val="4"/>
          <w:kern w:val="0"/>
          <w:sz w:val="32"/>
          <w:szCs w:val="32"/>
          <w:lang w:val="en-US" w:eastAsia="zh-CN"/>
        </w:rPr>
      </w:pPr>
      <w:bookmarkStart w:id="84" w:name="_Toc21020"/>
      <w:bookmarkStart w:id="85" w:name="_Toc16488"/>
      <w:bookmarkStart w:id="86" w:name="_Toc26193"/>
      <w:r>
        <w:rPr>
          <w:rFonts w:hint="eastAsia" w:cs="楷体"/>
          <w:b/>
          <w:bCs/>
          <w:snapToGrid w:val="0"/>
          <w:color w:val="auto"/>
          <w:spacing w:val="9"/>
          <w:kern w:val="0"/>
          <w:sz w:val="32"/>
          <w:szCs w:val="32"/>
          <w:lang w:val="en-US" w:eastAsia="zh-CN" w:bidi="ar-SA"/>
        </w:rPr>
        <w:t>　　</w:t>
      </w:r>
      <w:r>
        <w:rPr>
          <w:rFonts w:hint="eastAsia" w:ascii="方正楷体简体" w:hAnsi="方正楷体简体" w:eastAsia="方正楷体简体" w:cs="方正楷体简体"/>
          <w:b/>
          <w:bCs/>
          <w:snapToGrid w:val="0"/>
          <w:color w:val="auto"/>
          <w:spacing w:val="9"/>
          <w:kern w:val="0"/>
          <w:sz w:val="32"/>
          <w:szCs w:val="32"/>
          <w:lang w:val="en-US" w:eastAsia="zh-CN" w:bidi="ar-SA"/>
        </w:rPr>
        <w:t>第二节    完善体制机制，健全制度体系</w:t>
      </w:r>
      <w:bookmarkEnd w:id="84"/>
      <w:bookmarkEnd w:id="85"/>
      <w:bookmarkEnd w:id="86"/>
    </w:p>
    <w:p w14:paraId="7B90BD68">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snapToGrid w:val="0"/>
          <w:color w:val="auto"/>
          <w:spacing w:val="9"/>
          <w:kern w:val="0"/>
          <w:sz w:val="32"/>
          <w:szCs w:val="32"/>
          <w:lang w:val="en-US" w:eastAsia="zh-CN" w:bidi="ar-SA"/>
        </w:rPr>
      </w:pPr>
      <w:bookmarkStart w:id="87" w:name="_Toc19681"/>
      <w:r>
        <w:rPr>
          <w:rFonts w:hint="eastAsia" w:ascii="楷体" w:hAnsi="楷体" w:eastAsia="楷体" w:cs="楷体"/>
          <w:b/>
          <w:bCs/>
          <w:color w:val="auto"/>
          <w:spacing w:val="3"/>
          <w:sz w:val="32"/>
          <w:szCs w:val="32"/>
          <w:lang w:val="en-US" w:eastAsia="zh-CN"/>
        </w:rPr>
        <w:t>　</w:t>
      </w:r>
      <w:r>
        <w:rPr>
          <w:rFonts w:hint="eastAsia" w:ascii="方正仿宋_GB2312" w:hAnsi="方正仿宋_GB2312" w:eastAsia="方正仿宋_GB2312" w:cs="方正仿宋_GB2312"/>
          <w:b/>
          <w:bCs/>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一、完善规划配套制度</w:t>
      </w:r>
      <w:bookmarkEnd w:id="87"/>
    </w:p>
    <w:p w14:paraId="4245C95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sectPr>
          <w:pgSz w:w="11906" w:h="16838"/>
          <w:pgMar w:top="2098" w:right="1474" w:bottom="1984" w:left="1587" w:header="851" w:footer="992" w:gutter="0"/>
          <w:pgNumType w:fmt="decimal"/>
          <w:cols w:space="720" w:num="1"/>
          <w:rtlGutter w:val="0"/>
          <w:docGrid w:type="linesAndChars" w:linePitch="579" w:charSpace="0"/>
        </w:sectPr>
      </w:pPr>
      <w:bookmarkStart w:id="88" w:name="_Toc32266"/>
      <w:r>
        <w:rPr>
          <w:rFonts w:hint="eastAsia" w:ascii="仿宋_GB2312" w:hAnsi="仿宋_GB2312" w:eastAsia="仿宋_GB2312" w:cs="仿宋_GB2312"/>
          <w:b w:val="0"/>
          <w:bCs w:val="0"/>
          <w:snapToGrid w:val="0"/>
          <w:color w:val="auto"/>
          <w:spacing w:val="13"/>
          <w:kern w:val="0"/>
          <w:sz w:val="32"/>
          <w:szCs w:val="32"/>
          <w:lang w:val="en-US" w:eastAsia="zh-CN"/>
        </w:rPr>
        <w:t>　　加快推进与“十五五”应急管理规划相衔接的专项规划和配套方案编制，推动安全生产、防灾减灾救灾、自然灾害</w:t>
      </w:r>
    </w:p>
    <w:p w14:paraId="72589A5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风险防控、重大突发事件应急处置等制度办法的实施，形成“规划+专项方案+配套制度”的制度体系。</w:t>
      </w:r>
      <w:bookmarkEnd w:id="88"/>
    </w:p>
    <w:p w14:paraId="4AD26B74">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89" w:name="_Toc4530"/>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二、健全联动协同机制</w:t>
      </w:r>
      <w:bookmarkEnd w:id="89"/>
    </w:p>
    <w:p w14:paraId="74B8E8EB">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bookmarkStart w:id="90" w:name="_Toc8258"/>
      <w:r>
        <w:rPr>
          <w:rFonts w:hint="eastAsia" w:ascii="仿宋_GB2312" w:hAnsi="仿宋_GB2312" w:eastAsia="仿宋_GB2312" w:cs="仿宋_GB2312"/>
          <w:b w:val="0"/>
          <w:bCs w:val="0"/>
          <w:snapToGrid w:val="0"/>
          <w:color w:val="auto"/>
          <w:spacing w:val="13"/>
          <w:kern w:val="0"/>
          <w:sz w:val="32"/>
          <w:szCs w:val="32"/>
          <w:lang w:val="en-US" w:eastAsia="zh-CN"/>
        </w:rPr>
        <w:t>　　完善跨乡镇、跨部门、跨行业的会商研判、信息互通、联合执法、联合演练等工作机制，建立常态化风险隐患联合排查治理机制，推</w:t>
      </w:r>
      <w:r>
        <w:rPr>
          <w:rFonts w:hint="eastAsia" w:ascii="仿宋_GB2312" w:hAnsi="仿宋_GB2312" w:eastAsia="仿宋_GB2312" w:cs="仿宋_GB2312"/>
          <w:snapToGrid w:val="0"/>
          <w:color w:val="auto"/>
          <w:spacing w:val="13"/>
          <w:kern w:val="0"/>
          <w:sz w:val="32"/>
          <w:szCs w:val="32"/>
          <w:lang w:val="en-US" w:eastAsia="zh-CN"/>
        </w:rPr>
        <w:t>进应急、气象、水利、自然资源、住建、交通、卫生健康等部门间信息共享和业务协同。</w:t>
      </w:r>
      <w:bookmarkEnd w:id="90"/>
    </w:p>
    <w:p w14:paraId="108F029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center"/>
        <w:textAlignment w:val="baseline"/>
        <w:outlineLvl w:val="1"/>
        <w:rPr>
          <w:rFonts w:hint="default" w:ascii="仿宋" w:hAnsi="仿宋" w:eastAsia="仿宋" w:cs="仿宋"/>
          <w:snapToGrid w:val="0"/>
          <w:color w:val="auto"/>
          <w:spacing w:val="13"/>
          <w:kern w:val="0"/>
          <w:sz w:val="32"/>
          <w:szCs w:val="32"/>
          <w:lang w:val="en-US" w:eastAsia="zh-CN"/>
        </w:rPr>
      </w:pPr>
      <w:bookmarkStart w:id="91" w:name="_Toc6957"/>
      <w:bookmarkStart w:id="92" w:name="_Toc31565"/>
      <w:bookmarkStart w:id="93" w:name="_Toc31612"/>
      <w:r>
        <w:rPr>
          <w:rFonts w:hint="eastAsia" w:ascii="楷体" w:hAnsi="楷体" w:eastAsia="楷体" w:cs="楷体"/>
          <w:b/>
          <w:bCs/>
          <w:snapToGrid w:val="0"/>
          <w:color w:val="auto"/>
          <w:spacing w:val="9"/>
          <w:kern w:val="0"/>
          <w:sz w:val="32"/>
          <w:szCs w:val="32"/>
          <w:lang w:val="en-US" w:eastAsia="zh-CN" w:bidi="ar-SA"/>
        </w:rPr>
        <w:t>　　</w:t>
      </w:r>
      <w:r>
        <w:rPr>
          <w:rFonts w:hint="eastAsia" w:ascii="方正楷体简体" w:hAnsi="方正楷体简体" w:eastAsia="方正楷体简体" w:cs="方正楷体简体"/>
          <w:b/>
          <w:bCs/>
          <w:snapToGrid w:val="0"/>
          <w:color w:val="auto"/>
          <w:spacing w:val="9"/>
          <w:kern w:val="0"/>
          <w:sz w:val="32"/>
          <w:szCs w:val="32"/>
          <w:lang w:val="en-US" w:eastAsia="zh-CN" w:bidi="ar-SA"/>
        </w:rPr>
        <w:t>第三节    强化队伍建设，提升专业能力</w:t>
      </w:r>
      <w:bookmarkEnd w:id="91"/>
      <w:bookmarkEnd w:id="92"/>
      <w:bookmarkEnd w:id="93"/>
    </w:p>
    <w:p w14:paraId="6C44283A">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94" w:name="_Toc27914"/>
      <w:bookmarkStart w:id="95" w:name="_Toc26509"/>
      <w:r>
        <w:rPr>
          <w:rFonts w:hint="eastAsia" w:ascii="方正仿宋_GB2312" w:hAnsi="方正仿宋_GB2312" w:eastAsia="方正仿宋_GB2312" w:cs="方正仿宋_GB2312"/>
          <w:b/>
          <w:bCs/>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一、加强专职队伍建设</w:t>
      </w:r>
      <w:bookmarkEnd w:id="94"/>
    </w:p>
    <w:p w14:paraId="1020D21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bookmarkStart w:id="96" w:name="_Toc19524"/>
      <w:r>
        <w:rPr>
          <w:rFonts w:hint="eastAsia" w:ascii="仿宋_GB2312" w:hAnsi="仿宋_GB2312" w:eastAsia="仿宋_GB2312" w:cs="仿宋_GB2312"/>
          <w:b w:val="0"/>
          <w:bCs w:val="0"/>
          <w:snapToGrid w:val="0"/>
          <w:color w:val="auto"/>
          <w:spacing w:val="13"/>
          <w:kern w:val="0"/>
          <w:sz w:val="32"/>
          <w:szCs w:val="32"/>
          <w:lang w:val="en-US" w:eastAsia="zh-CN"/>
        </w:rPr>
        <w:t>　　按照“规模适度、结构合理、素质优良”的要求，优化县应急管理部门编制和岗位设置，稳定专职队伍，逐步补齐救援力量专业人才短板。支持消防救援队伍、专业救援队伍标准化、规范化建设。</w:t>
      </w:r>
      <w:bookmarkEnd w:id="96"/>
    </w:p>
    <w:p w14:paraId="28D6B4A1">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97" w:name="_Toc6673"/>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二、夯实基层应急力量</w:t>
      </w:r>
      <w:bookmarkEnd w:id="97"/>
    </w:p>
    <w:p w14:paraId="5144D76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bookmarkStart w:id="98" w:name="_Toc28779"/>
      <w:r>
        <w:rPr>
          <w:rFonts w:hint="eastAsia" w:ascii="仿宋_GB2312" w:hAnsi="仿宋_GB2312" w:eastAsia="仿宋_GB2312" w:cs="仿宋_GB2312"/>
          <w:b w:val="0"/>
          <w:bCs w:val="0"/>
          <w:snapToGrid w:val="0"/>
          <w:color w:val="auto"/>
          <w:spacing w:val="13"/>
          <w:kern w:val="0"/>
          <w:sz w:val="32"/>
          <w:szCs w:val="32"/>
          <w:lang w:val="en-US" w:eastAsia="zh-CN"/>
        </w:rPr>
        <w:t>　　指导乡镇（街办、园区）规范建立综合应急救援队、微型消防站和行政村（社区）志愿应急队伍，推动网格员、乡镇干部、村“两委”成员兼任信息员、抢险员，构建“专业队伍为骨干、基层队伍为辅助、社会力量广泛参与”的应急力量体系。</w:t>
      </w:r>
      <w:bookmarkEnd w:id="98"/>
    </w:p>
    <w:p w14:paraId="571F925C">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三、加强教育培训和实战演练</w:t>
      </w:r>
      <w:bookmarkEnd w:id="95"/>
    </w:p>
    <w:p w14:paraId="1549D1C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bookmarkStart w:id="99" w:name="_Toc10053"/>
      <w:r>
        <w:rPr>
          <w:rFonts w:hint="eastAsia" w:ascii="仿宋_GB2312" w:hAnsi="仿宋_GB2312" w:eastAsia="仿宋_GB2312" w:cs="仿宋_GB2312"/>
          <w:b w:val="0"/>
          <w:bCs w:val="0"/>
          <w:snapToGrid w:val="0"/>
          <w:color w:val="auto"/>
          <w:spacing w:val="13"/>
          <w:kern w:val="0"/>
          <w:sz w:val="32"/>
          <w:szCs w:val="32"/>
          <w:lang w:val="en-US" w:eastAsia="zh-CN"/>
        </w:rPr>
        <w:t>　　建立分级分类培训制度，将应急管理知识纳入党校、行政学院和干部教育培训重要内容，针对镇村干部、企业负责人、一线职工开展分层次</w:t>
      </w:r>
      <w:r>
        <w:rPr>
          <w:rFonts w:hint="eastAsia" w:ascii="仿宋_GB2312" w:hAnsi="仿宋_GB2312" w:eastAsia="仿宋_GB2312" w:cs="仿宋_GB2312"/>
          <w:snapToGrid w:val="0"/>
          <w:color w:val="auto"/>
          <w:spacing w:val="13"/>
          <w:kern w:val="0"/>
          <w:sz w:val="32"/>
          <w:szCs w:val="32"/>
          <w:lang w:val="en-US" w:eastAsia="zh-CN"/>
        </w:rPr>
        <w:t>培训。坚持“干什么练什么、缺什么补什么”，每年组织若干次多部门、多层级、多场景联合实战演练。</w:t>
      </w:r>
      <w:bookmarkEnd w:id="99"/>
    </w:p>
    <w:p w14:paraId="095A771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center"/>
        <w:textAlignment w:val="baseline"/>
        <w:outlineLvl w:val="1"/>
        <w:rPr>
          <w:rFonts w:hint="eastAsia" w:ascii="楷体" w:hAnsi="楷体" w:eastAsia="楷体" w:cs="楷体"/>
          <w:b/>
          <w:bCs/>
          <w:snapToGrid w:val="0"/>
          <w:color w:val="auto"/>
          <w:spacing w:val="9"/>
          <w:kern w:val="0"/>
          <w:sz w:val="32"/>
          <w:szCs w:val="32"/>
          <w:lang w:val="en-US" w:eastAsia="zh-CN" w:bidi="ar-SA"/>
        </w:rPr>
      </w:pPr>
      <w:bookmarkStart w:id="100" w:name="_Toc32182"/>
      <w:bookmarkStart w:id="101" w:name="_Toc7924"/>
      <w:bookmarkStart w:id="102" w:name="_Toc26498"/>
      <w:r>
        <w:rPr>
          <w:rFonts w:hint="eastAsia" w:ascii="楷体" w:hAnsi="楷体" w:eastAsia="楷体" w:cs="楷体"/>
          <w:b/>
          <w:bCs/>
          <w:snapToGrid w:val="0"/>
          <w:color w:val="auto"/>
          <w:spacing w:val="9"/>
          <w:kern w:val="0"/>
          <w:sz w:val="32"/>
          <w:szCs w:val="32"/>
          <w:lang w:val="en-US" w:eastAsia="zh-CN" w:bidi="ar-SA"/>
        </w:rPr>
        <w:t>　　</w:t>
      </w:r>
      <w:r>
        <w:rPr>
          <w:rFonts w:hint="eastAsia" w:ascii="方正楷体简体" w:hAnsi="方正楷体简体" w:eastAsia="方正楷体简体" w:cs="方正楷体简体"/>
          <w:b/>
          <w:bCs/>
          <w:snapToGrid w:val="0"/>
          <w:color w:val="auto"/>
          <w:spacing w:val="9"/>
          <w:kern w:val="0"/>
          <w:sz w:val="32"/>
          <w:szCs w:val="32"/>
          <w:lang w:val="en-US" w:eastAsia="zh-CN" w:bidi="ar-SA"/>
        </w:rPr>
        <w:t>第四节    加大资金投入，强化要素保障</w:t>
      </w:r>
      <w:bookmarkEnd w:id="100"/>
      <w:bookmarkEnd w:id="101"/>
      <w:bookmarkEnd w:id="102"/>
    </w:p>
    <w:p w14:paraId="16E9789D">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snapToGrid w:val="0"/>
          <w:color w:val="auto"/>
          <w:spacing w:val="7"/>
          <w:kern w:val="0"/>
          <w:sz w:val="32"/>
          <w:szCs w:val="32"/>
          <w:lang w:val="en-US" w:eastAsia="zh-CN"/>
        </w:rPr>
      </w:pPr>
      <w:bookmarkStart w:id="103" w:name="_Toc27333"/>
      <w:r>
        <w:rPr>
          <w:rFonts w:hint="eastAsia" w:ascii="楷体" w:hAnsi="楷体" w:eastAsia="楷体" w:cs="楷体"/>
          <w:b/>
          <w:bCs/>
          <w:color w:val="auto"/>
          <w:spacing w:val="3"/>
          <w:sz w:val="32"/>
          <w:szCs w:val="32"/>
          <w:lang w:val="en-US" w:eastAsia="zh-CN"/>
        </w:rPr>
        <w:t>　</w:t>
      </w:r>
      <w:r>
        <w:rPr>
          <w:rFonts w:hint="eastAsia" w:ascii="楷体" w:hAnsi="楷体" w:eastAsia="楷体" w:cs="楷体"/>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一、完善财政投入机制</w:t>
      </w:r>
      <w:bookmarkEnd w:id="103"/>
    </w:p>
    <w:p w14:paraId="284127F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20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bookmarkStart w:id="104" w:name="_Toc32487"/>
      <w:r>
        <w:rPr>
          <w:rFonts w:hint="eastAsia" w:ascii="仿宋_GB2312" w:hAnsi="仿宋_GB2312" w:eastAsia="仿宋_GB2312" w:cs="仿宋_GB2312"/>
          <w:b w:val="0"/>
          <w:bCs w:val="0"/>
          <w:snapToGrid w:val="0"/>
          <w:color w:val="auto"/>
          <w:spacing w:val="13"/>
          <w:kern w:val="0"/>
          <w:sz w:val="32"/>
          <w:szCs w:val="32"/>
          <w:lang w:val="en-US" w:eastAsia="zh-CN"/>
        </w:rPr>
        <w:t>将“十五五”应急管理规划确定的重大工程和重点项目纳入县级财政预算和中长期财政规划，优化财政支出结构，确保应急管理投入与经济社会发展水平相适应。用足用好上级转移支付、专项资金和相关扶持政策。</w:t>
      </w:r>
      <w:bookmarkEnd w:id="104"/>
    </w:p>
    <w:p w14:paraId="602BE4E6">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105" w:name="_Toc27459"/>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二、创新多元投入模式</w:t>
      </w:r>
      <w:bookmarkEnd w:id="105"/>
    </w:p>
    <w:p w14:paraId="31F3479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bookmarkStart w:id="106" w:name="_Toc15318"/>
      <w:r>
        <w:rPr>
          <w:rFonts w:hint="eastAsia" w:ascii="仿宋_GB2312" w:hAnsi="仿宋_GB2312" w:eastAsia="仿宋_GB2312" w:cs="仿宋_GB2312"/>
          <w:b w:val="0"/>
          <w:bCs w:val="0"/>
          <w:snapToGrid w:val="0"/>
          <w:color w:val="auto"/>
          <w:spacing w:val="13"/>
          <w:kern w:val="0"/>
          <w:sz w:val="32"/>
          <w:szCs w:val="32"/>
          <w:lang w:val="en-US" w:eastAsia="zh-CN"/>
        </w:rPr>
        <w:t>　　鼓励和引导社会资本通过政府和社会资本合作、购买服务等方式参与应急物资储备、应急基础设施建设和运营管理，探索建立应急产业发展基金、保险等风险分担机制，初步形成“财政投入为主、社会投入为辅”的多元投入格局。</w:t>
      </w:r>
      <w:bookmarkEnd w:id="106"/>
    </w:p>
    <w:p w14:paraId="6AFC51A2">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107" w:name="_Toc6490"/>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三、健全资金使用监督机制</w:t>
      </w:r>
      <w:bookmarkEnd w:id="107"/>
    </w:p>
    <w:p w14:paraId="62DF301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bookmarkStart w:id="108" w:name="_Toc8839"/>
      <w:r>
        <w:rPr>
          <w:rFonts w:hint="eastAsia" w:ascii="仿宋_GB2312" w:hAnsi="仿宋_GB2312" w:eastAsia="仿宋_GB2312" w:cs="仿宋_GB2312"/>
          <w:snapToGrid w:val="0"/>
          <w:color w:val="auto"/>
          <w:spacing w:val="13"/>
          <w:kern w:val="0"/>
          <w:sz w:val="32"/>
          <w:szCs w:val="32"/>
          <w:lang w:val="en-US" w:eastAsia="zh-CN"/>
        </w:rPr>
        <w:t>　　完善应急管理资金项目评估、绩效管理和审计监督制度，严格资金使用审批和报账流程，确保资金专款专用、公开透明、绩效可评，实现投入与产出、效益挂钩。</w:t>
      </w:r>
      <w:bookmarkEnd w:id="108"/>
    </w:p>
    <w:p w14:paraId="07DF4D3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center"/>
        <w:textAlignment w:val="baseline"/>
        <w:outlineLvl w:val="1"/>
        <w:rPr>
          <w:rFonts w:hint="default" w:ascii="方正楷体简体" w:hAnsi="方正楷体简体" w:eastAsia="方正楷体简体" w:cs="方正楷体简体"/>
          <w:b/>
          <w:bCs/>
          <w:snapToGrid w:val="0"/>
          <w:color w:val="auto"/>
          <w:spacing w:val="9"/>
          <w:kern w:val="0"/>
          <w:sz w:val="32"/>
          <w:szCs w:val="32"/>
          <w:lang w:val="en-US" w:eastAsia="zh-CN" w:bidi="ar-SA"/>
        </w:rPr>
      </w:pPr>
      <w:bookmarkStart w:id="109" w:name="_Toc32416"/>
      <w:bookmarkStart w:id="110" w:name="_Toc6326"/>
      <w:bookmarkStart w:id="111" w:name="_Toc1514"/>
      <w:r>
        <w:rPr>
          <w:rFonts w:hint="eastAsia" w:ascii="楷体" w:hAnsi="楷体" w:eastAsia="楷体" w:cs="楷体"/>
          <w:b/>
          <w:bCs/>
          <w:snapToGrid w:val="0"/>
          <w:color w:val="auto"/>
          <w:spacing w:val="7"/>
          <w:kern w:val="0"/>
          <w:sz w:val="32"/>
          <w:szCs w:val="32"/>
          <w:lang w:val="en-US" w:eastAsia="zh-CN"/>
        </w:rPr>
        <w:t>　　</w:t>
      </w:r>
      <w:r>
        <w:rPr>
          <w:rFonts w:hint="eastAsia" w:ascii="方正楷体简体" w:hAnsi="方正楷体简体" w:eastAsia="方正楷体简体" w:cs="方正楷体简体"/>
          <w:b/>
          <w:bCs/>
          <w:snapToGrid w:val="0"/>
          <w:color w:val="auto"/>
          <w:spacing w:val="9"/>
          <w:kern w:val="0"/>
          <w:sz w:val="32"/>
          <w:szCs w:val="32"/>
          <w:lang w:val="en-US" w:eastAsia="zh-CN" w:bidi="ar-SA"/>
        </w:rPr>
        <w:t xml:space="preserve">第五节    </w:t>
      </w:r>
      <w:r>
        <w:rPr>
          <w:rFonts w:hint="default" w:ascii="方正楷体简体" w:hAnsi="方正楷体简体" w:eastAsia="方正楷体简体" w:cs="方正楷体简体"/>
          <w:b/>
          <w:bCs/>
          <w:snapToGrid w:val="0"/>
          <w:color w:val="auto"/>
          <w:spacing w:val="9"/>
          <w:kern w:val="0"/>
          <w:sz w:val="32"/>
          <w:szCs w:val="32"/>
          <w:lang w:val="en-US" w:eastAsia="zh-CN" w:bidi="ar-SA"/>
        </w:rPr>
        <w:t>完善考核评估，强化督导问责</w:t>
      </w:r>
      <w:bookmarkEnd w:id="109"/>
      <w:bookmarkEnd w:id="110"/>
      <w:bookmarkEnd w:id="111"/>
    </w:p>
    <w:p w14:paraId="04F65C35">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112" w:name="_Toc10063"/>
      <w:r>
        <w:rPr>
          <w:rFonts w:hint="eastAsia" w:ascii="楷体" w:hAnsi="楷体" w:eastAsia="楷体" w:cs="楷体"/>
          <w:b/>
          <w:bCs/>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一、建立规划实施评估机制</w:t>
      </w:r>
      <w:bookmarkEnd w:id="112"/>
    </w:p>
    <w:p w14:paraId="048475C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bookmarkStart w:id="113" w:name="_Toc13000"/>
      <w:r>
        <w:rPr>
          <w:rFonts w:hint="eastAsia" w:ascii="仿宋_GB2312" w:hAnsi="仿宋_GB2312" w:eastAsia="仿宋_GB2312" w:cs="仿宋_GB2312"/>
          <w:b w:val="0"/>
          <w:bCs w:val="0"/>
          <w:snapToGrid w:val="0"/>
          <w:color w:val="auto"/>
          <w:spacing w:val="13"/>
          <w:kern w:val="0"/>
          <w:sz w:val="32"/>
          <w:szCs w:val="32"/>
          <w:lang w:val="en-US" w:eastAsia="zh-CN"/>
        </w:rPr>
        <w:t>　　制定“十五五”应急管理规划实施评估办法，明确年度目标、阶段性目标和主要指标，定期开展自评、第三方评估和综合评估，及时发现问题、总结经验、改进工作。</w:t>
      </w:r>
      <w:bookmarkEnd w:id="113"/>
    </w:p>
    <w:p w14:paraId="5BFD37A0">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val="0"/>
          <w:bCs w:val="0"/>
          <w:color w:val="auto"/>
          <w:spacing w:val="3"/>
          <w:sz w:val="32"/>
          <w:szCs w:val="32"/>
          <w:lang w:val="en-US" w:eastAsia="zh-CN"/>
        </w:rPr>
      </w:pPr>
      <w:bookmarkStart w:id="114" w:name="_Toc6227"/>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　二、强化监督检查和通报约谈</w:t>
      </w:r>
      <w:bookmarkEnd w:id="114"/>
    </w:p>
    <w:p w14:paraId="6D3D65F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8"/>
          <w:kern w:val="0"/>
          <w:sz w:val="32"/>
          <w:szCs w:val="32"/>
          <w:lang w:val="en-US" w:eastAsia="zh-CN"/>
        </w:rPr>
      </w:pPr>
      <w:bookmarkStart w:id="115" w:name="_Toc2817"/>
      <w:r>
        <w:rPr>
          <w:rFonts w:hint="eastAsia" w:ascii="仿宋_GB2312" w:hAnsi="仿宋_GB2312" w:eastAsia="仿宋_GB2312" w:cs="仿宋_GB2312"/>
          <w:b w:val="0"/>
          <w:bCs w:val="0"/>
          <w:snapToGrid w:val="0"/>
          <w:color w:val="auto"/>
          <w:spacing w:val="13"/>
          <w:kern w:val="0"/>
          <w:sz w:val="32"/>
          <w:szCs w:val="32"/>
          <w:lang w:val="en-US" w:eastAsia="zh-CN"/>
        </w:rPr>
        <w:t>　　将规划重点任务完成情况纳入县委、县政府督查重点内容，适时组织专项督查、明察暗访，对发现的问题实行清单化管理、闭环式整改。对工作不力、推进不实、问题突出的乡镇和部门，依法依规开展约谈、通报，必要时追责问责。</w:t>
      </w:r>
      <w:bookmarkEnd w:id="115"/>
    </w:p>
    <w:p w14:paraId="1B504F2B">
      <w:pPr>
        <w:keepNext w:val="0"/>
        <w:keepLines w:val="0"/>
        <w:pageBreakBefore w:val="0"/>
        <w:widowControl w:val="0"/>
        <w:kinsoku/>
        <w:wordWrap/>
        <w:overflowPunct/>
        <w:topLinePunct w:val="0"/>
        <w:autoSpaceDE/>
        <w:autoSpaceDN/>
        <w:bidi w:val="0"/>
        <w:adjustRightInd w:val="0"/>
        <w:snapToGrid w:val="0"/>
        <w:spacing w:afterAutospacing="0" w:line="560" w:lineRule="exact"/>
        <w:ind w:left="0" w:right="0" w:firstLine="0" w:firstLineChars="0"/>
        <w:jc w:val="both"/>
        <w:textAlignment w:val="auto"/>
        <w:outlineLvl w:val="2"/>
        <w:rPr>
          <w:rFonts w:hint="eastAsia" w:ascii="仿宋_GB2312" w:hAnsi="仿宋_GB2312" w:eastAsia="仿宋_GB2312" w:cs="仿宋_GB2312"/>
          <w:b/>
          <w:bCs/>
          <w:color w:val="auto"/>
          <w:spacing w:val="3"/>
          <w:sz w:val="32"/>
          <w:szCs w:val="32"/>
          <w:lang w:val="en-US" w:eastAsia="zh-CN"/>
        </w:rPr>
      </w:pPr>
      <w:bookmarkStart w:id="116" w:name="_Toc6484"/>
      <w:r>
        <w:rPr>
          <w:rFonts w:hint="eastAsia" w:ascii="仿宋_GB2312" w:hAnsi="仿宋_GB2312" w:eastAsia="仿宋_GB2312" w:cs="仿宋_GB2312"/>
          <w:b w:val="0"/>
          <w:bCs w:val="0"/>
          <w:color w:val="auto"/>
          <w:spacing w:val="3"/>
          <w:sz w:val="32"/>
          <w:szCs w:val="32"/>
          <w:lang w:val="en-US" w:eastAsia="zh-CN"/>
        </w:rPr>
        <w:t>　　</w:t>
      </w:r>
      <w:r>
        <w:rPr>
          <w:rFonts w:hint="eastAsia" w:ascii="仿宋_GB2312" w:hAnsi="仿宋_GB2312" w:eastAsia="仿宋_GB2312" w:cs="仿宋_GB2312"/>
          <w:b/>
          <w:bCs/>
          <w:color w:val="auto"/>
          <w:spacing w:val="3"/>
          <w:sz w:val="32"/>
          <w:szCs w:val="32"/>
          <w:lang w:val="en-US" w:eastAsia="zh-CN"/>
        </w:rPr>
        <w:t>三、健全激励约束机制</w:t>
      </w:r>
      <w:bookmarkEnd w:id="116"/>
    </w:p>
    <w:p w14:paraId="2326F2C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bookmarkStart w:id="117" w:name="_Toc24573"/>
      <w:r>
        <w:rPr>
          <w:rFonts w:hint="eastAsia" w:ascii="仿宋_GB2312" w:hAnsi="仿宋_GB2312" w:eastAsia="仿宋_GB2312" w:cs="仿宋_GB2312"/>
          <w:snapToGrid w:val="0"/>
          <w:color w:val="auto"/>
          <w:spacing w:val="13"/>
          <w:kern w:val="0"/>
          <w:sz w:val="32"/>
          <w:szCs w:val="32"/>
          <w:lang w:val="en-US" w:eastAsia="zh-CN"/>
        </w:rPr>
        <w:t>将应急管理工作成效纳入领导班子和领导干部综合考核评价体系，作为评优评先、选拔任用重要参考。对在应急管理和抢险救援中作出突出贡献的集体和个人，按规定给予表彰奖励，营造比学赶超、创先争优的良好氛围。</w:t>
      </w:r>
      <w:bookmarkEnd w:id="117"/>
    </w:p>
    <w:p w14:paraId="3DE405E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2131E93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4381C58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2B2FE02B">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5C0F499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59A5F38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59347868">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2A92D5E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280F7F4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3A77B31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sectPr>
          <w:footerReference r:id="rId9" w:type="default"/>
          <w:pgSz w:w="11906" w:h="16838"/>
          <w:pgMar w:top="2098" w:right="1474" w:bottom="1984" w:left="1587" w:header="851" w:footer="992" w:gutter="0"/>
          <w:pgNumType w:fmt="decimal"/>
          <w:cols w:space="720" w:num="1"/>
          <w:rtlGutter w:val="0"/>
          <w:docGrid w:type="linesAndChars" w:linePitch="579" w:charSpace="0"/>
        </w:sectPr>
      </w:pPr>
    </w:p>
    <w:p w14:paraId="74F0C8C3">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0" w:firstLineChars="0"/>
        <w:jc w:val="center"/>
        <w:textAlignment w:val="auto"/>
        <w:outlineLvl w:val="0"/>
        <w:rPr>
          <w:rFonts w:hint="eastAsia" w:ascii="方正小标宋简体" w:hAnsi="方正小标宋简体" w:eastAsia="方正小标宋简体" w:cs="方正小标宋简体"/>
          <w:b/>
          <w:bCs/>
          <w:color w:val="auto"/>
          <w:spacing w:val="-6"/>
          <w:sz w:val="52"/>
          <w:szCs w:val="52"/>
          <w:lang w:val="en-US" w:eastAsia="zh-CN"/>
        </w:rPr>
      </w:pPr>
    </w:p>
    <w:p w14:paraId="066035AB">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0" w:firstLineChars="0"/>
        <w:jc w:val="center"/>
        <w:textAlignment w:val="auto"/>
        <w:outlineLvl w:val="0"/>
        <w:rPr>
          <w:rFonts w:hint="eastAsia" w:ascii="方正小标宋简体" w:hAnsi="方正小标宋简体" w:eastAsia="方正小标宋简体" w:cs="方正小标宋简体"/>
          <w:b/>
          <w:bCs/>
          <w:color w:val="auto"/>
          <w:spacing w:val="-6"/>
          <w:sz w:val="52"/>
          <w:szCs w:val="52"/>
          <w:lang w:val="en-US" w:eastAsia="zh-CN"/>
        </w:rPr>
      </w:pPr>
      <w:r>
        <w:rPr>
          <w:rFonts w:hint="eastAsia" w:ascii="方正小标宋简体" w:hAnsi="方正小标宋简体" w:eastAsia="方正小标宋简体" w:cs="方正小标宋简体"/>
          <w:b/>
          <w:bCs/>
          <w:snapToGrid w:val="0"/>
          <w:color w:val="auto"/>
          <w:spacing w:val="-6"/>
          <w:sz w:val="52"/>
          <w:szCs w:val="52"/>
          <w:lang w:val="en-US" w:eastAsia="zh-CN"/>
        </w:rPr>
        <w:t>墨玉县综合防灾减灾</w:t>
      </w:r>
    </w:p>
    <w:p w14:paraId="6C1E879B">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0" w:firstLineChars="0"/>
        <w:jc w:val="center"/>
        <w:textAlignment w:val="auto"/>
        <w:outlineLvl w:val="0"/>
        <w:rPr>
          <w:rFonts w:hint="eastAsia" w:ascii="宋体" w:hAnsi="宋体" w:eastAsia="宋体" w:cs="宋体"/>
          <w:b/>
          <w:bCs/>
          <w:snapToGrid w:val="0"/>
          <w:color w:val="auto"/>
          <w:spacing w:val="-6"/>
          <w:sz w:val="52"/>
          <w:szCs w:val="52"/>
          <w:lang w:val="en-US" w:eastAsia="zh-CN"/>
        </w:rPr>
      </w:pPr>
      <w:r>
        <w:rPr>
          <w:rFonts w:hint="eastAsia" w:ascii="方正小标宋简体" w:hAnsi="方正小标宋简体" w:eastAsia="方正小标宋简体" w:cs="方正小标宋简体"/>
          <w:b/>
          <w:bCs/>
          <w:snapToGrid w:val="0"/>
          <w:color w:val="auto"/>
          <w:spacing w:val="-6"/>
          <w:sz w:val="52"/>
          <w:szCs w:val="52"/>
          <w:lang w:val="en-US" w:eastAsia="zh-CN"/>
        </w:rPr>
        <w:t>“十五五”实施方案（2026—2030年）</w:t>
      </w:r>
    </w:p>
    <w:p w14:paraId="38C3DA20">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1839" w:firstLineChars="300"/>
        <w:jc w:val="both"/>
        <w:textAlignment w:val="auto"/>
        <w:outlineLvl w:val="0"/>
        <w:rPr>
          <w:rFonts w:hint="eastAsia" w:ascii="宋体" w:hAnsi="宋体" w:eastAsia="宋体" w:cs="宋体"/>
          <w:b w:val="0"/>
          <w:bCs w:val="0"/>
          <w:color w:val="auto"/>
          <w:spacing w:val="-6"/>
          <w:sz w:val="52"/>
          <w:szCs w:val="52"/>
          <w:lang w:eastAsia="zh-CN"/>
        </w:rPr>
      </w:pPr>
    </w:p>
    <w:p w14:paraId="78E1C111">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1839" w:firstLineChars="300"/>
        <w:jc w:val="both"/>
        <w:textAlignment w:val="auto"/>
        <w:outlineLvl w:val="0"/>
        <w:rPr>
          <w:rFonts w:hint="eastAsia" w:ascii="宋体" w:hAnsi="宋体" w:eastAsia="宋体" w:cs="宋体"/>
          <w:b w:val="0"/>
          <w:bCs w:val="0"/>
          <w:color w:val="auto"/>
          <w:spacing w:val="-6"/>
          <w:sz w:val="52"/>
          <w:szCs w:val="52"/>
          <w:lang w:eastAsia="zh-CN"/>
        </w:rPr>
      </w:pPr>
    </w:p>
    <w:p w14:paraId="27EC6D94">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1839" w:firstLineChars="300"/>
        <w:jc w:val="both"/>
        <w:textAlignment w:val="auto"/>
        <w:outlineLvl w:val="0"/>
        <w:rPr>
          <w:rFonts w:hint="eastAsia" w:ascii="宋体" w:hAnsi="宋体" w:eastAsia="宋体" w:cs="宋体"/>
          <w:b w:val="0"/>
          <w:bCs w:val="0"/>
          <w:color w:val="auto"/>
          <w:spacing w:val="-6"/>
          <w:sz w:val="52"/>
          <w:szCs w:val="52"/>
          <w:lang w:eastAsia="zh-CN"/>
        </w:rPr>
      </w:pPr>
    </w:p>
    <w:p w14:paraId="496DB086">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1839" w:firstLineChars="300"/>
        <w:jc w:val="both"/>
        <w:textAlignment w:val="auto"/>
        <w:outlineLvl w:val="0"/>
        <w:rPr>
          <w:rFonts w:hint="eastAsia" w:ascii="宋体" w:hAnsi="宋体" w:eastAsia="宋体" w:cs="宋体"/>
          <w:b w:val="0"/>
          <w:bCs w:val="0"/>
          <w:color w:val="auto"/>
          <w:spacing w:val="-6"/>
          <w:sz w:val="52"/>
          <w:szCs w:val="52"/>
          <w:lang w:eastAsia="zh-CN"/>
        </w:rPr>
      </w:pPr>
    </w:p>
    <w:p w14:paraId="743E9038">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0" w:firstLineChars="0"/>
        <w:jc w:val="both"/>
        <w:textAlignment w:val="auto"/>
        <w:outlineLvl w:val="0"/>
        <w:rPr>
          <w:rFonts w:hint="eastAsia" w:ascii="宋体" w:hAnsi="宋体" w:eastAsia="宋体" w:cs="宋体"/>
          <w:b w:val="0"/>
          <w:bCs w:val="0"/>
          <w:color w:val="auto"/>
          <w:spacing w:val="-6"/>
          <w:sz w:val="52"/>
          <w:szCs w:val="52"/>
          <w:lang w:eastAsia="zh-CN"/>
        </w:rPr>
      </w:pPr>
    </w:p>
    <w:p w14:paraId="00713319">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1839" w:firstLineChars="300"/>
        <w:jc w:val="both"/>
        <w:textAlignment w:val="auto"/>
        <w:outlineLvl w:val="0"/>
        <w:rPr>
          <w:rFonts w:hint="eastAsia" w:ascii="宋体" w:hAnsi="宋体" w:eastAsia="宋体" w:cs="宋体"/>
          <w:b w:val="0"/>
          <w:bCs w:val="0"/>
          <w:color w:val="auto"/>
          <w:spacing w:val="-6"/>
          <w:sz w:val="52"/>
          <w:szCs w:val="52"/>
          <w:lang w:eastAsia="zh-CN"/>
        </w:rPr>
      </w:pPr>
    </w:p>
    <w:p w14:paraId="51065145">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0" w:firstLineChars="0"/>
        <w:jc w:val="both"/>
        <w:textAlignment w:val="auto"/>
        <w:outlineLvl w:val="0"/>
        <w:rPr>
          <w:rFonts w:hint="eastAsia" w:ascii="宋体" w:hAnsi="宋体" w:eastAsia="宋体" w:cs="宋体"/>
          <w:b w:val="0"/>
          <w:bCs w:val="0"/>
          <w:color w:val="auto"/>
          <w:spacing w:val="-6"/>
          <w:sz w:val="52"/>
          <w:szCs w:val="52"/>
          <w:lang w:val="en-US" w:eastAsia="zh-CN"/>
        </w:rPr>
      </w:pPr>
    </w:p>
    <w:p w14:paraId="13FB0986">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0" w:firstLineChars="0"/>
        <w:jc w:val="both"/>
        <w:textAlignment w:val="auto"/>
        <w:outlineLvl w:val="0"/>
        <w:rPr>
          <w:rFonts w:hint="eastAsia" w:ascii="宋体" w:hAnsi="宋体" w:eastAsia="宋体" w:cs="宋体"/>
          <w:b w:val="0"/>
          <w:bCs w:val="0"/>
          <w:color w:val="auto"/>
          <w:spacing w:val="-6"/>
          <w:sz w:val="52"/>
          <w:szCs w:val="52"/>
          <w:lang w:val="en-US" w:eastAsia="zh-CN"/>
        </w:rPr>
      </w:pPr>
    </w:p>
    <w:p w14:paraId="2C075AE7">
      <w:pPr>
        <w:widowControl/>
        <w:kinsoku w:val="0"/>
        <w:autoSpaceDE w:val="0"/>
        <w:autoSpaceDN w:val="0"/>
        <w:adjustRightInd w:val="0"/>
        <w:snapToGrid w:val="0"/>
        <w:spacing w:before="133" w:after="0" w:afterLines="0" w:line="189" w:lineRule="auto"/>
        <w:ind w:firstLine="764" w:firstLineChars="200"/>
        <w:jc w:val="center"/>
        <w:textAlignment w:val="baseline"/>
        <w:outlineLvl w:val="0"/>
        <w:rPr>
          <w:rFonts w:hint="eastAsia" w:ascii="黑体" w:hAnsi="黑体" w:eastAsia="黑体" w:cs="黑体"/>
          <w:snapToGrid w:val="0"/>
          <w:color w:val="auto"/>
          <w:spacing w:val="-15"/>
          <w:w w:val="96"/>
          <w:kern w:val="0"/>
          <w:sz w:val="32"/>
          <w:szCs w:val="32"/>
          <w:lang w:val="en-US" w:eastAsia="zh-CN"/>
        </w:rPr>
      </w:pPr>
      <w:r>
        <w:rPr>
          <w:rFonts w:hint="eastAsia" w:ascii="黑体" w:hAnsi="黑体" w:eastAsia="黑体" w:cs="黑体"/>
          <w:snapToGrid w:val="0"/>
          <w:color w:val="auto"/>
          <w:spacing w:val="-15"/>
          <w:w w:val="96"/>
          <w:kern w:val="0"/>
          <w:sz w:val="32"/>
          <w:szCs w:val="32"/>
          <w:lang w:val="en-US" w:eastAsia="zh-CN"/>
        </w:rPr>
        <w:t>新疆维吾尔自治区和田地区墨玉县应急管理局</w:t>
      </w:r>
    </w:p>
    <w:p w14:paraId="22A7B8AB">
      <w:pPr>
        <w:widowControl/>
        <w:kinsoku w:val="0"/>
        <w:autoSpaceDE w:val="0"/>
        <w:autoSpaceDN w:val="0"/>
        <w:adjustRightInd w:val="0"/>
        <w:snapToGrid w:val="0"/>
        <w:spacing w:before="133" w:after="0" w:afterLines="0" w:line="189" w:lineRule="auto"/>
        <w:ind w:firstLine="764" w:firstLineChars="200"/>
        <w:jc w:val="center"/>
        <w:textAlignment w:val="baseline"/>
        <w:outlineLvl w:val="0"/>
        <w:rPr>
          <w:rFonts w:hint="eastAsia" w:ascii="黑体" w:hAnsi="黑体" w:eastAsia="黑体"/>
          <w:spacing w:val="0"/>
          <w:sz w:val="21"/>
          <w:szCs w:val="21"/>
          <w:lang w:eastAsia="zh-CN"/>
        </w:rPr>
      </w:pPr>
      <w:r>
        <w:rPr>
          <w:rFonts w:hint="default" w:ascii="Times New Roman" w:hAnsi="Times New Roman" w:eastAsia="黑体" w:cs="Times New Roman"/>
          <w:snapToGrid w:val="0"/>
          <w:color w:val="auto"/>
          <w:spacing w:val="-15"/>
          <w:w w:val="96"/>
          <w:kern w:val="0"/>
          <w:sz w:val="32"/>
          <w:szCs w:val="32"/>
          <w:lang w:val="en-US" w:eastAsia="zh-CN"/>
        </w:rPr>
        <w:t xml:space="preserve">2025 </w:t>
      </w:r>
      <w:r>
        <w:rPr>
          <w:rFonts w:hint="eastAsia" w:ascii="黑体" w:hAnsi="黑体" w:eastAsia="黑体" w:cs="黑体"/>
          <w:snapToGrid w:val="0"/>
          <w:color w:val="auto"/>
          <w:spacing w:val="-15"/>
          <w:w w:val="96"/>
          <w:kern w:val="0"/>
          <w:sz w:val="32"/>
          <w:szCs w:val="32"/>
          <w:lang w:val="en-US" w:eastAsia="zh-CN"/>
        </w:rPr>
        <w:t xml:space="preserve">年 </w:t>
      </w:r>
      <w:r>
        <w:rPr>
          <w:rFonts w:hint="default" w:ascii="Times New Roman" w:hAnsi="Times New Roman" w:eastAsia="黑体" w:cs="Times New Roman"/>
          <w:snapToGrid w:val="0"/>
          <w:color w:val="auto"/>
          <w:spacing w:val="-15"/>
          <w:w w:val="96"/>
          <w:kern w:val="0"/>
          <w:sz w:val="32"/>
          <w:szCs w:val="32"/>
          <w:lang w:val="en-US" w:eastAsia="zh-CN"/>
        </w:rPr>
        <w:t xml:space="preserve">12 </w:t>
      </w:r>
      <w:r>
        <w:rPr>
          <w:rFonts w:hint="eastAsia" w:ascii="黑体" w:hAnsi="黑体" w:eastAsia="黑体" w:cs="黑体"/>
          <w:snapToGrid w:val="0"/>
          <w:color w:val="auto"/>
          <w:spacing w:val="-15"/>
          <w:w w:val="96"/>
          <w:kern w:val="0"/>
          <w:sz w:val="32"/>
          <w:szCs w:val="32"/>
          <w:lang w:val="en-US" w:eastAsia="zh-CN"/>
        </w:rPr>
        <w:t>月</w:t>
      </w:r>
    </w:p>
    <w:p w14:paraId="16358872">
      <w:pPr>
        <w:widowControl/>
        <w:kinsoku w:val="0"/>
        <w:autoSpaceDE w:val="0"/>
        <w:autoSpaceDN w:val="0"/>
        <w:adjustRightInd w:val="0"/>
        <w:snapToGrid w:val="0"/>
        <w:spacing w:before="133" w:after="0" w:afterLines="0" w:line="189" w:lineRule="auto"/>
        <w:ind w:firstLine="744" w:firstLineChars="200"/>
        <w:jc w:val="center"/>
        <w:textAlignment w:val="baseline"/>
        <w:outlineLvl w:val="0"/>
        <w:rPr>
          <w:rFonts w:hint="eastAsia" w:ascii="微软雅黑" w:hAnsi="微软雅黑" w:eastAsia="微软雅黑" w:cs="微软雅黑"/>
          <w:snapToGrid w:val="0"/>
          <w:color w:val="auto"/>
          <w:spacing w:val="-15"/>
          <w:w w:val="96"/>
          <w:kern w:val="0"/>
          <w:sz w:val="31"/>
          <w:szCs w:val="31"/>
          <w:lang w:val="en-US" w:eastAsia="zh-CN"/>
        </w:rPr>
      </w:pPr>
    </w:p>
    <w:p w14:paraId="6E5CFAB6">
      <w:pPr>
        <w:widowControl/>
        <w:kinsoku w:val="0"/>
        <w:autoSpaceDE w:val="0"/>
        <w:autoSpaceDN w:val="0"/>
        <w:adjustRightInd w:val="0"/>
        <w:snapToGrid w:val="0"/>
        <w:spacing w:before="133" w:after="0" w:afterLines="0" w:line="189" w:lineRule="auto"/>
        <w:ind w:firstLine="744" w:firstLineChars="200"/>
        <w:jc w:val="center"/>
        <w:textAlignment w:val="baseline"/>
        <w:outlineLvl w:val="0"/>
        <w:rPr>
          <w:rFonts w:hint="eastAsia" w:ascii="微软雅黑" w:hAnsi="微软雅黑" w:eastAsia="微软雅黑" w:cs="微软雅黑"/>
          <w:snapToGrid w:val="0"/>
          <w:color w:val="auto"/>
          <w:spacing w:val="-15"/>
          <w:w w:val="96"/>
          <w:kern w:val="0"/>
          <w:sz w:val="31"/>
          <w:szCs w:val="31"/>
          <w:lang w:val="en-US" w:eastAsia="zh-CN"/>
        </w:rPr>
        <w:sectPr>
          <w:footerReference r:id="rId10" w:type="default"/>
          <w:pgSz w:w="11906" w:h="16838"/>
          <w:pgMar w:top="2098" w:right="1474" w:bottom="1984" w:left="1587" w:header="0" w:footer="0" w:gutter="0"/>
          <w:cols w:space="720" w:num="1"/>
          <w:rtlGutter w:val="0"/>
          <w:docGrid w:type="linesAndChars" w:linePitch="579" w:charSpace="21686"/>
        </w:sectPr>
      </w:pPr>
    </w:p>
    <w:p w14:paraId="3C540725">
      <w:pPr>
        <w:widowControl/>
        <w:kinsoku w:val="0"/>
        <w:autoSpaceDE w:val="0"/>
        <w:autoSpaceDN w:val="0"/>
        <w:adjustRightInd w:val="0"/>
        <w:snapToGrid w:val="0"/>
        <w:spacing w:before="133" w:after="0" w:afterLines="0" w:line="189" w:lineRule="auto"/>
        <w:ind w:firstLine="744" w:firstLineChars="200"/>
        <w:jc w:val="center"/>
        <w:textAlignment w:val="baseline"/>
        <w:outlineLvl w:val="0"/>
        <w:rPr>
          <w:rFonts w:hint="eastAsia" w:ascii="微软雅黑" w:hAnsi="微软雅黑" w:eastAsia="微软雅黑" w:cs="微软雅黑"/>
          <w:snapToGrid w:val="0"/>
          <w:color w:val="auto"/>
          <w:spacing w:val="-15"/>
          <w:w w:val="96"/>
          <w:kern w:val="0"/>
          <w:sz w:val="31"/>
          <w:szCs w:val="31"/>
          <w:lang w:val="en-US" w:eastAsia="zh-CN"/>
        </w:rPr>
      </w:pPr>
    </w:p>
    <w:p w14:paraId="203101D3">
      <w:pPr>
        <w:widowControl/>
        <w:kinsoku w:val="0"/>
        <w:autoSpaceDE w:val="0"/>
        <w:autoSpaceDN w:val="0"/>
        <w:adjustRightInd w:val="0"/>
        <w:snapToGrid w:val="0"/>
        <w:spacing w:before="133" w:after="0" w:afterLines="0" w:line="189" w:lineRule="auto"/>
        <w:ind w:firstLine="744" w:firstLineChars="200"/>
        <w:jc w:val="center"/>
        <w:textAlignment w:val="baseline"/>
        <w:outlineLvl w:val="0"/>
        <w:rPr>
          <w:rFonts w:hint="eastAsia" w:ascii="微软雅黑" w:hAnsi="微软雅黑" w:eastAsia="微软雅黑" w:cs="微软雅黑"/>
          <w:snapToGrid w:val="0"/>
          <w:color w:val="auto"/>
          <w:spacing w:val="-15"/>
          <w:w w:val="96"/>
          <w:kern w:val="0"/>
          <w:sz w:val="31"/>
          <w:szCs w:val="31"/>
          <w:lang w:val="en-US" w:eastAsia="zh-CN"/>
        </w:rPr>
        <w:sectPr>
          <w:footerReference r:id="rId11" w:type="default"/>
          <w:pgSz w:w="11906" w:h="16838"/>
          <w:pgMar w:top="2098" w:right="1474" w:bottom="1984" w:left="1587" w:header="0" w:footer="0" w:gutter="0"/>
          <w:cols w:space="720" w:num="1"/>
          <w:rtlGutter w:val="0"/>
          <w:docGrid w:type="linesAndChars" w:linePitch="579" w:charSpace="21686"/>
        </w:sectPr>
      </w:pPr>
    </w:p>
    <w:p w14:paraId="5946CD23">
      <w:pPr>
        <w:tabs>
          <w:tab w:val="center" w:pos="4482"/>
          <w:tab w:val="left" w:pos="8207"/>
        </w:tabs>
        <w:adjustRightInd/>
        <w:snapToGrid/>
        <w:spacing w:before="0" w:beforeLines="0" w:after="0" w:afterLines="0" w:line="240" w:lineRule="auto"/>
        <w:ind w:left="0" w:leftChars="0" w:right="0" w:rightChars="0" w:firstLine="0" w:firstLineChars="0"/>
        <w:jc w:val="center"/>
        <w:rPr>
          <w:rFonts w:hint="eastAsia" w:ascii="宋体" w:hAnsi="宋体" w:eastAsia="宋体" w:cs="Times New Roman"/>
          <w:spacing w:val="0"/>
          <w:kern w:val="2"/>
          <w:sz w:val="21"/>
          <w:szCs w:val="21"/>
          <w:lang w:val="en-US" w:eastAsia="zh-CN" w:bidi="ar-SA"/>
        </w:rPr>
      </w:pPr>
      <w:r>
        <w:rPr>
          <w:rFonts w:hint="eastAsia" w:ascii="宋体" w:hAnsi="宋体" w:eastAsia="宋体" w:cs="Times New Roman"/>
          <w:spacing w:val="0"/>
          <w:kern w:val="2"/>
          <w:sz w:val="21"/>
          <w:szCs w:val="21"/>
          <w:lang w:val="en-US" w:eastAsia="zh-CN" w:bidi="ar-SA"/>
        </w:rPr>
        <w:tab/>
      </w:r>
    </w:p>
    <w:sdt>
      <w:sdtPr>
        <w:rPr>
          <w:rFonts w:ascii="宋体" w:hAnsi="宋体" w:eastAsia="宋体" w:cs="Times New Roman"/>
          <w:kern w:val="2"/>
          <w:sz w:val="21"/>
          <w:szCs w:val="21"/>
          <w:lang w:val="en-US" w:eastAsia="zh-CN" w:bidi="ar-SA"/>
        </w:rPr>
        <w:id w:val="147479608"/>
        <w15:color w:val="DBDBDB"/>
        <w:docPartObj>
          <w:docPartGallery w:val="Table of Contents"/>
          <w:docPartUnique/>
        </w:docPartObj>
      </w:sdtPr>
      <w:sdtEndPr>
        <w:rPr>
          <w:rFonts w:hint="eastAsia" w:ascii="仿宋" w:hAnsi="仿宋" w:eastAsia="仿宋" w:cs="仿宋"/>
          <w:snapToGrid w:val="0"/>
          <w:color w:val="000000"/>
          <w:spacing w:val="-19"/>
          <w:w w:val="98"/>
          <w:kern w:val="0"/>
          <w:sz w:val="28"/>
          <w:szCs w:val="28"/>
          <w:lang w:val="en-US" w:eastAsia="zh-CN" w:bidi="ar-SA"/>
        </w:rPr>
      </w:sdtEndPr>
      <w:sdtContent>
        <w:p w14:paraId="27F09011">
          <w:pPr>
            <w:tabs>
              <w:tab w:val="center" w:pos="4482"/>
              <w:tab w:val="left" w:pos="8207"/>
            </w:tabs>
            <w:adjustRightInd/>
            <w:snapToGrid/>
            <w:spacing w:before="0" w:beforeLines="0" w:after="0" w:afterLines="0" w:line="240" w:lineRule="auto"/>
            <w:ind w:left="0" w:leftChars="0" w:right="0" w:rightChars="0" w:firstLine="0" w:firstLineChars="0"/>
            <w:jc w:val="center"/>
            <w:rPr>
              <w:rFonts w:hint="eastAsia" w:ascii="黑体" w:hAnsi="黑体" w:eastAsia="宋体"/>
              <w:b/>
              <w:bCs/>
              <w:spacing w:val="0"/>
              <w:sz w:val="32"/>
              <w:szCs w:val="32"/>
              <w:lang w:eastAsia="zh-CN"/>
            </w:rPr>
          </w:pPr>
          <w:r>
            <w:rPr>
              <w:rFonts w:ascii="宋体" w:hAnsi="宋体" w:eastAsia="宋体"/>
              <w:b/>
              <w:bCs/>
              <w:spacing w:val="0"/>
              <w:sz w:val="32"/>
              <w:szCs w:val="32"/>
            </w:rPr>
            <w:t>目</w:t>
          </w:r>
          <w:r>
            <w:rPr>
              <w:rFonts w:hint="eastAsia" w:ascii="宋体" w:hAnsi="宋体" w:eastAsia="宋体"/>
              <w:b/>
              <w:bCs/>
              <w:spacing w:val="0"/>
              <w:sz w:val="32"/>
              <w:szCs w:val="32"/>
              <w:lang w:val="en-US" w:eastAsia="zh-CN"/>
            </w:rPr>
            <w:t xml:space="preserve"> </w:t>
          </w:r>
          <w:r>
            <w:rPr>
              <w:rFonts w:ascii="宋体" w:hAnsi="宋体" w:eastAsia="宋体"/>
              <w:b/>
              <w:bCs/>
              <w:spacing w:val="0"/>
              <w:sz w:val="32"/>
              <w:szCs w:val="32"/>
            </w:rPr>
            <w:t>录</w:t>
          </w:r>
        </w:p>
        <w:p w14:paraId="1648C053">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0" w:firstLine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color w:val="000000"/>
              <w:spacing w:val="-19"/>
              <w:w w:val="98"/>
              <w:kern w:val="0"/>
              <w:sz w:val="28"/>
              <w:szCs w:val="28"/>
              <w:lang w:val="en-US" w:eastAsia="zh-CN" w:bidi="ar-SA"/>
            </w:rPr>
            <w:instrText xml:space="preserve">TOC \o "1-2" \h \u </w:instrText>
          </w:r>
          <w:r>
            <w:rPr>
              <w:rFonts w:hint="eastAsia" w:ascii="仿宋" w:hAnsi="仿宋" w:eastAsia="仿宋" w:cs="仿宋"/>
              <w:snapToGrid w:val="0"/>
              <w:color w:val="000000"/>
              <w:spacing w:val="-19"/>
              <w:w w:val="98"/>
              <w:kern w:val="0"/>
              <w:sz w:val="28"/>
              <w:szCs w:val="28"/>
              <w:lang w:val="en-US" w:eastAsia="zh-CN" w:bidi="ar-SA"/>
            </w:rPr>
            <w:fldChar w:fldCharType="separate"/>
          </w:r>
          <w:r>
            <w:rPr>
              <w:rFonts w:hint="eastAsia" w:ascii="仿宋" w:hAnsi="仿宋" w:eastAsia="仿宋" w:cs="仿宋"/>
              <w:b/>
              <w:bCs/>
              <w:snapToGrid w:val="0"/>
              <w:color w:val="000000"/>
              <w:spacing w:val="-19"/>
              <w:w w:val="98"/>
              <w:kern w:val="0"/>
              <w:sz w:val="28"/>
              <w:szCs w:val="28"/>
              <w:lang w:val="en-US" w:eastAsia="zh-CN" w:bidi="ar-SA"/>
            </w:rPr>
            <w:fldChar w:fldCharType="begin"/>
          </w:r>
          <w:r>
            <w:rPr>
              <w:rFonts w:hint="eastAsia" w:ascii="仿宋" w:hAnsi="仿宋" w:eastAsia="仿宋" w:cs="仿宋"/>
              <w:b/>
              <w:bCs/>
              <w:snapToGrid w:val="0"/>
              <w:spacing w:val="-19"/>
              <w:w w:val="98"/>
              <w:kern w:val="0"/>
              <w:sz w:val="28"/>
              <w:szCs w:val="28"/>
              <w:lang w:val="en-US" w:eastAsia="zh-CN" w:bidi="ar-SA"/>
            </w:rPr>
            <w:instrText xml:space="preserve"> HYPERLINK \l _Toc17706 </w:instrText>
          </w:r>
          <w:r>
            <w:rPr>
              <w:rFonts w:hint="eastAsia" w:ascii="仿宋" w:hAnsi="仿宋" w:eastAsia="仿宋" w:cs="仿宋"/>
              <w:b/>
              <w:bCs/>
              <w:snapToGrid w:val="0"/>
              <w:spacing w:val="-19"/>
              <w:w w:val="98"/>
              <w:kern w:val="0"/>
              <w:sz w:val="28"/>
              <w:szCs w:val="28"/>
              <w:lang w:val="en-US" w:eastAsia="zh-CN" w:bidi="ar-SA"/>
            </w:rPr>
            <w:fldChar w:fldCharType="separate"/>
          </w:r>
          <w:r>
            <w:rPr>
              <w:rFonts w:hint="eastAsia" w:ascii="仿宋" w:hAnsi="仿宋" w:eastAsia="仿宋" w:cs="仿宋"/>
              <w:b/>
              <w:bCs/>
              <w:snapToGrid w:val="0"/>
              <w:spacing w:val="6"/>
              <w:kern w:val="0"/>
              <w:sz w:val="28"/>
              <w:szCs w:val="28"/>
              <w:lang w:val="en-US" w:eastAsia="zh-CN" w:bidi="ar-SA"/>
            </w:rPr>
            <w:t>第一章  发展现状和面临的形势</w:t>
          </w:r>
          <w:r>
            <w:rPr>
              <w:rFonts w:hint="eastAsia" w:ascii="仿宋" w:hAnsi="仿宋" w:eastAsia="仿宋" w:cs="仿宋"/>
              <w:b/>
              <w:bCs/>
              <w:kern w:val="2"/>
              <w:sz w:val="28"/>
              <w:szCs w:val="28"/>
              <w:lang w:val="en-US" w:eastAsia="zh-CN" w:bidi="ar-SA"/>
            </w:rPr>
            <w:tab/>
          </w:r>
          <w:r>
            <w:rPr>
              <w:rFonts w:hint="eastAsia" w:ascii="仿宋" w:hAnsi="仿宋" w:eastAsia="仿宋" w:cs="仿宋"/>
              <w:b w:val="0"/>
              <w:bCs w:val="0"/>
              <w:kern w:val="2"/>
              <w:sz w:val="28"/>
              <w:szCs w:val="28"/>
              <w:lang w:val="en-US" w:eastAsia="zh-CN" w:bidi="ar-SA"/>
            </w:rPr>
            <w:t>1</w:t>
          </w:r>
          <w:r>
            <w:rPr>
              <w:rFonts w:hint="eastAsia" w:ascii="仿宋" w:hAnsi="仿宋" w:eastAsia="仿宋" w:cs="仿宋"/>
              <w:b/>
              <w:bCs/>
              <w:snapToGrid w:val="0"/>
              <w:color w:val="000000"/>
              <w:spacing w:val="-19"/>
              <w:w w:val="98"/>
              <w:kern w:val="0"/>
              <w:sz w:val="28"/>
              <w:szCs w:val="28"/>
              <w:lang w:val="en-US" w:eastAsia="zh-CN" w:bidi="ar-SA"/>
            </w:rPr>
            <w:fldChar w:fldCharType="end"/>
          </w:r>
        </w:p>
        <w:p w14:paraId="74BC9EEB">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_Toc913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6"/>
              <w:kern w:val="0"/>
              <w:sz w:val="28"/>
              <w:szCs w:val="28"/>
              <w:lang w:val="en-US" w:eastAsia="zh-CN" w:bidi="ar-SA"/>
            </w:rPr>
            <w:t>第一节  “十四五”时期防灾减灾救灾工作成效</w:t>
          </w:r>
          <w:r>
            <w:rPr>
              <w:rFonts w:hint="eastAsia" w:ascii="仿宋" w:hAnsi="仿宋" w:eastAsia="仿宋" w:cs="仿宋"/>
              <w:kern w:val="2"/>
              <w:sz w:val="28"/>
              <w:szCs w:val="28"/>
              <w:lang w:val="en-US" w:eastAsia="zh-CN" w:bidi="ar-SA"/>
            </w:rPr>
            <w:tab/>
          </w:r>
          <w:r>
            <w:rPr>
              <w:rFonts w:hint="eastAsia" w:ascii="仿宋" w:hAnsi="仿宋" w:eastAsia="仿宋" w:cs="仿宋"/>
              <w:kern w:val="2"/>
              <w:sz w:val="28"/>
              <w:szCs w:val="28"/>
              <w:lang w:val="en-US" w:eastAsia="zh-CN" w:bidi="ar-SA"/>
            </w:rPr>
            <w:t>1</w:t>
          </w:r>
          <w:r>
            <w:rPr>
              <w:rFonts w:hint="eastAsia" w:ascii="仿宋" w:hAnsi="仿宋" w:eastAsia="仿宋" w:cs="仿宋"/>
              <w:snapToGrid w:val="0"/>
              <w:color w:val="000000"/>
              <w:spacing w:val="-19"/>
              <w:w w:val="98"/>
              <w:kern w:val="0"/>
              <w:sz w:val="28"/>
              <w:szCs w:val="28"/>
              <w:lang w:val="en-US" w:eastAsia="zh-CN" w:bidi="ar-SA"/>
            </w:rPr>
            <w:fldChar w:fldCharType="end"/>
          </w:r>
        </w:p>
        <w:p w14:paraId="4230CA54">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_Toc29910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6"/>
              <w:kern w:val="0"/>
              <w:sz w:val="28"/>
              <w:szCs w:val="28"/>
              <w:lang w:val="en-US" w:eastAsia="zh-CN" w:bidi="ar-SA"/>
            </w:rPr>
            <w:t>第二节  存在的问题</w:t>
          </w:r>
          <w:r>
            <w:rPr>
              <w:rFonts w:hint="eastAsia" w:ascii="仿宋" w:hAnsi="仿宋" w:eastAsia="仿宋" w:cs="仿宋"/>
              <w:kern w:val="2"/>
              <w:sz w:val="28"/>
              <w:szCs w:val="28"/>
              <w:lang w:val="en-US" w:eastAsia="zh-CN" w:bidi="ar-SA"/>
            </w:rPr>
            <w:tab/>
          </w:r>
          <w:r>
            <w:rPr>
              <w:rFonts w:hint="eastAsia" w:ascii="仿宋" w:hAnsi="仿宋" w:eastAsia="仿宋" w:cs="仿宋"/>
              <w:kern w:val="2"/>
              <w:sz w:val="28"/>
              <w:szCs w:val="28"/>
              <w:lang w:val="en-US" w:eastAsia="zh-CN" w:bidi="ar-SA"/>
            </w:rPr>
            <w:t>4</w:t>
          </w:r>
          <w:r>
            <w:rPr>
              <w:rFonts w:hint="eastAsia" w:ascii="仿宋" w:hAnsi="仿宋" w:eastAsia="仿宋" w:cs="仿宋"/>
              <w:snapToGrid w:val="0"/>
              <w:color w:val="000000"/>
              <w:spacing w:val="-19"/>
              <w:w w:val="98"/>
              <w:kern w:val="0"/>
              <w:sz w:val="28"/>
              <w:szCs w:val="28"/>
              <w:lang w:val="en-US" w:eastAsia="zh-CN" w:bidi="ar-SA"/>
            </w:rPr>
            <w:fldChar w:fldCharType="end"/>
          </w:r>
        </w:p>
        <w:p w14:paraId="2FA659DE">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_Toc24330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6"/>
              <w:kern w:val="0"/>
              <w:sz w:val="28"/>
              <w:szCs w:val="28"/>
              <w:lang w:val="en-US" w:eastAsia="zh-CN" w:bidi="ar-SA"/>
            </w:rPr>
            <w:t>第三节  发展机遇</w:t>
          </w:r>
          <w:r>
            <w:rPr>
              <w:rFonts w:hint="eastAsia" w:ascii="仿宋" w:hAnsi="仿宋" w:eastAsia="仿宋" w:cs="仿宋"/>
              <w:kern w:val="2"/>
              <w:sz w:val="28"/>
              <w:szCs w:val="28"/>
              <w:lang w:val="en-US" w:eastAsia="zh-CN" w:bidi="ar-SA"/>
            </w:rPr>
            <w:tab/>
          </w:r>
          <w:r>
            <w:rPr>
              <w:rFonts w:hint="eastAsia" w:ascii="仿宋" w:hAnsi="仿宋" w:eastAsia="仿宋" w:cs="仿宋"/>
              <w:kern w:val="2"/>
              <w:sz w:val="28"/>
              <w:szCs w:val="28"/>
              <w:lang w:val="en-US" w:eastAsia="zh-CN" w:bidi="ar-SA"/>
            </w:rPr>
            <w:t>5</w:t>
          </w:r>
          <w:r>
            <w:rPr>
              <w:rFonts w:hint="eastAsia" w:ascii="仿宋" w:hAnsi="仿宋" w:eastAsia="仿宋" w:cs="仿宋"/>
              <w:snapToGrid w:val="0"/>
              <w:color w:val="000000"/>
              <w:spacing w:val="-19"/>
              <w:w w:val="98"/>
              <w:kern w:val="0"/>
              <w:sz w:val="28"/>
              <w:szCs w:val="28"/>
              <w:lang w:val="en-US" w:eastAsia="zh-CN" w:bidi="ar-SA"/>
            </w:rPr>
            <w:fldChar w:fldCharType="end"/>
          </w:r>
        </w:p>
        <w:p w14:paraId="6846DB17">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_Toc23575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4"/>
              <w:kern w:val="0"/>
              <w:sz w:val="28"/>
              <w:szCs w:val="28"/>
              <w:lang w:val="en-US" w:eastAsia="zh-CN" w:bidi="ar-SA"/>
            </w:rPr>
            <w:t>第四节  面临的挑战</w:t>
          </w:r>
          <w:r>
            <w:rPr>
              <w:rFonts w:hint="eastAsia" w:ascii="仿宋" w:hAnsi="仿宋" w:eastAsia="仿宋" w:cs="仿宋"/>
              <w:kern w:val="2"/>
              <w:sz w:val="28"/>
              <w:szCs w:val="28"/>
              <w:lang w:val="en-US" w:eastAsia="zh-CN" w:bidi="ar-SA"/>
            </w:rPr>
            <w:tab/>
          </w:r>
          <w:r>
            <w:rPr>
              <w:rFonts w:hint="eastAsia" w:ascii="仿宋" w:hAnsi="仿宋" w:eastAsia="仿宋" w:cs="仿宋"/>
              <w:kern w:val="2"/>
              <w:sz w:val="28"/>
              <w:szCs w:val="28"/>
              <w:lang w:val="en-US" w:eastAsia="zh-CN" w:bidi="ar-SA"/>
            </w:rPr>
            <w:t>6</w:t>
          </w:r>
          <w:r>
            <w:rPr>
              <w:rFonts w:hint="eastAsia" w:ascii="仿宋" w:hAnsi="仿宋" w:eastAsia="仿宋" w:cs="仿宋"/>
              <w:snapToGrid w:val="0"/>
              <w:color w:val="000000"/>
              <w:spacing w:val="-19"/>
              <w:w w:val="98"/>
              <w:kern w:val="0"/>
              <w:sz w:val="28"/>
              <w:szCs w:val="28"/>
              <w:lang w:val="en-US" w:eastAsia="zh-CN" w:bidi="ar-SA"/>
            </w:rPr>
            <w:fldChar w:fldCharType="end"/>
          </w:r>
        </w:p>
        <w:p w14:paraId="4A325499">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0" w:firstLineChars="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b/>
              <w:bCs/>
              <w:snapToGrid w:val="0"/>
              <w:color w:val="000000"/>
              <w:spacing w:val="-19"/>
              <w:w w:val="98"/>
              <w:kern w:val="0"/>
              <w:sz w:val="28"/>
              <w:szCs w:val="28"/>
              <w:lang w:val="en-US" w:eastAsia="zh-CN" w:bidi="ar-SA"/>
            </w:rPr>
            <w:fldChar w:fldCharType="begin"/>
          </w:r>
          <w:r>
            <w:rPr>
              <w:rFonts w:hint="eastAsia" w:ascii="仿宋" w:hAnsi="仿宋" w:eastAsia="仿宋" w:cs="仿宋"/>
              <w:b/>
              <w:bCs/>
              <w:snapToGrid w:val="0"/>
              <w:spacing w:val="-19"/>
              <w:w w:val="98"/>
              <w:kern w:val="0"/>
              <w:sz w:val="28"/>
              <w:szCs w:val="28"/>
              <w:lang w:val="en-US" w:eastAsia="zh-CN" w:bidi="ar-SA"/>
            </w:rPr>
            <w:instrText xml:space="preserve"> HYPERLINK \l _Toc4319 </w:instrText>
          </w:r>
          <w:r>
            <w:rPr>
              <w:rFonts w:hint="eastAsia" w:ascii="仿宋" w:hAnsi="仿宋" w:eastAsia="仿宋" w:cs="仿宋"/>
              <w:b/>
              <w:bCs/>
              <w:snapToGrid w:val="0"/>
              <w:spacing w:val="-19"/>
              <w:w w:val="98"/>
              <w:kern w:val="0"/>
              <w:sz w:val="28"/>
              <w:szCs w:val="28"/>
              <w:lang w:val="en-US" w:eastAsia="zh-CN" w:bidi="ar-SA"/>
            </w:rPr>
            <w:fldChar w:fldCharType="separate"/>
          </w:r>
          <w:r>
            <w:rPr>
              <w:rFonts w:hint="eastAsia" w:ascii="仿宋" w:hAnsi="仿宋" w:eastAsia="仿宋" w:cs="仿宋"/>
              <w:b/>
              <w:bCs/>
              <w:snapToGrid w:val="0"/>
              <w:spacing w:val="8"/>
              <w:kern w:val="0"/>
              <w:position w:val="1"/>
              <w:sz w:val="28"/>
              <w:szCs w:val="28"/>
              <w:lang w:val="en-US" w:eastAsia="zh-CN" w:bidi="ar-SA"/>
            </w:rPr>
            <w:t>第二章  指导思想、基本原则和规划目标</w:t>
          </w:r>
          <w:r>
            <w:rPr>
              <w:rFonts w:hint="eastAsia" w:ascii="仿宋" w:hAnsi="仿宋" w:eastAsia="仿宋" w:cs="仿宋"/>
              <w:b/>
              <w:bCs/>
              <w:kern w:val="2"/>
              <w:sz w:val="28"/>
              <w:szCs w:val="28"/>
              <w:lang w:val="en-US" w:eastAsia="zh-CN" w:bidi="ar-SA"/>
            </w:rPr>
            <w:tab/>
          </w:r>
          <w:r>
            <w:rPr>
              <w:rFonts w:hint="eastAsia" w:ascii="仿宋" w:hAnsi="仿宋" w:eastAsia="仿宋" w:cs="仿宋"/>
              <w:b w:val="0"/>
              <w:bCs w:val="0"/>
              <w:kern w:val="2"/>
              <w:sz w:val="28"/>
              <w:szCs w:val="28"/>
              <w:lang w:val="en-US" w:eastAsia="zh-CN" w:bidi="ar-SA"/>
            </w:rPr>
            <w:t>7</w:t>
          </w:r>
          <w:r>
            <w:rPr>
              <w:rFonts w:hint="eastAsia" w:ascii="仿宋" w:hAnsi="仿宋" w:eastAsia="仿宋" w:cs="仿宋"/>
              <w:b/>
              <w:bCs/>
              <w:snapToGrid w:val="0"/>
              <w:color w:val="000000"/>
              <w:spacing w:val="-19"/>
              <w:w w:val="98"/>
              <w:kern w:val="0"/>
              <w:sz w:val="28"/>
              <w:szCs w:val="28"/>
              <w:lang w:val="en-US" w:eastAsia="zh-CN" w:bidi="ar-SA"/>
            </w:rPr>
            <w:fldChar w:fldCharType="end"/>
          </w:r>
        </w:p>
        <w:p w14:paraId="592B9242">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_Toc4588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4"/>
              <w:kern w:val="0"/>
              <w:sz w:val="28"/>
              <w:szCs w:val="28"/>
              <w:lang w:val="en-US" w:eastAsia="zh-CN" w:bidi="ar-SA"/>
            </w:rPr>
            <w:t>第一节  指导思想</w:t>
          </w:r>
          <w:r>
            <w:rPr>
              <w:rFonts w:hint="eastAsia" w:ascii="仿宋" w:hAnsi="仿宋" w:eastAsia="仿宋" w:cs="仿宋"/>
              <w:kern w:val="2"/>
              <w:sz w:val="28"/>
              <w:szCs w:val="28"/>
              <w:lang w:val="en-US" w:eastAsia="zh-CN" w:bidi="ar-SA"/>
            </w:rPr>
            <w:tab/>
          </w:r>
          <w:r>
            <w:rPr>
              <w:rFonts w:hint="eastAsia" w:ascii="仿宋" w:hAnsi="仿宋" w:eastAsia="仿宋" w:cs="仿宋"/>
              <w:kern w:val="2"/>
              <w:sz w:val="28"/>
              <w:szCs w:val="28"/>
              <w:lang w:val="en-US" w:eastAsia="zh-CN" w:bidi="ar-SA"/>
            </w:rPr>
            <w:t>7</w:t>
          </w:r>
          <w:r>
            <w:rPr>
              <w:rFonts w:hint="eastAsia" w:ascii="仿宋" w:hAnsi="仿宋" w:eastAsia="仿宋" w:cs="仿宋"/>
              <w:snapToGrid w:val="0"/>
              <w:color w:val="000000"/>
              <w:spacing w:val="-19"/>
              <w:w w:val="98"/>
              <w:kern w:val="0"/>
              <w:sz w:val="28"/>
              <w:szCs w:val="28"/>
              <w:lang w:val="en-US" w:eastAsia="zh-CN" w:bidi="ar-SA"/>
            </w:rPr>
            <w:fldChar w:fldCharType="end"/>
          </w:r>
        </w:p>
        <w:p w14:paraId="4B1BB796">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_Toc1805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4"/>
              <w:kern w:val="0"/>
              <w:sz w:val="28"/>
              <w:szCs w:val="28"/>
              <w:lang w:val="en-US" w:eastAsia="zh-CN" w:bidi="ar-SA"/>
            </w:rPr>
            <w:t>第二节  基本原则</w:t>
          </w:r>
          <w:r>
            <w:rPr>
              <w:rFonts w:hint="eastAsia" w:ascii="仿宋" w:hAnsi="仿宋" w:eastAsia="仿宋" w:cs="仿宋"/>
              <w:kern w:val="2"/>
              <w:sz w:val="28"/>
              <w:szCs w:val="28"/>
              <w:lang w:val="en-US" w:eastAsia="zh-CN" w:bidi="ar-SA"/>
            </w:rPr>
            <w:tab/>
          </w:r>
          <w:r>
            <w:rPr>
              <w:rFonts w:hint="eastAsia" w:ascii="仿宋" w:hAnsi="仿宋" w:eastAsia="仿宋" w:cs="仿宋"/>
              <w:kern w:val="2"/>
              <w:sz w:val="28"/>
              <w:szCs w:val="28"/>
              <w:lang w:val="en-US" w:eastAsia="zh-CN" w:bidi="ar-SA"/>
            </w:rPr>
            <w:t>8</w:t>
          </w:r>
          <w:r>
            <w:rPr>
              <w:rFonts w:hint="eastAsia" w:ascii="仿宋" w:hAnsi="仿宋" w:eastAsia="仿宋" w:cs="仿宋"/>
              <w:snapToGrid w:val="0"/>
              <w:color w:val="000000"/>
              <w:spacing w:val="-19"/>
              <w:w w:val="98"/>
              <w:kern w:val="0"/>
              <w:sz w:val="28"/>
              <w:szCs w:val="28"/>
              <w:lang w:val="en-US" w:eastAsia="zh-CN" w:bidi="ar-SA"/>
            </w:rPr>
            <w:fldChar w:fldCharType="end"/>
          </w:r>
        </w:p>
        <w:p w14:paraId="48264643">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eastAsia"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_Toc31619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4"/>
              <w:kern w:val="0"/>
              <w:sz w:val="28"/>
              <w:szCs w:val="28"/>
              <w:lang w:val="en-US" w:eastAsia="zh-CN" w:bidi="ar-SA"/>
            </w:rPr>
            <w:t>第三节  规划目标</w:t>
          </w:r>
          <w:r>
            <w:rPr>
              <w:rFonts w:hint="eastAsia" w:ascii="仿宋" w:hAnsi="仿宋" w:eastAsia="仿宋" w:cs="仿宋"/>
              <w:kern w:val="2"/>
              <w:sz w:val="28"/>
              <w:szCs w:val="28"/>
              <w:lang w:val="en-US" w:eastAsia="zh-CN" w:bidi="ar-SA"/>
            </w:rPr>
            <w:tab/>
          </w:r>
          <w:r>
            <w:rPr>
              <w:rFonts w:hint="eastAsia" w:ascii="仿宋" w:hAnsi="仿宋" w:eastAsia="仿宋" w:cs="仿宋"/>
              <w:kern w:val="2"/>
              <w:sz w:val="28"/>
              <w:szCs w:val="28"/>
              <w:lang w:val="en-US" w:eastAsia="zh-CN" w:bidi="ar-SA"/>
            </w:rPr>
            <w:t>9</w:t>
          </w:r>
          <w:r>
            <w:rPr>
              <w:rFonts w:hint="eastAsia" w:ascii="仿宋" w:hAnsi="仿宋" w:eastAsia="仿宋" w:cs="仿宋"/>
              <w:snapToGrid w:val="0"/>
              <w:color w:val="000000"/>
              <w:spacing w:val="-19"/>
              <w:w w:val="98"/>
              <w:kern w:val="0"/>
              <w:sz w:val="28"/>
              <w:szCs w:val="28"/>
              <w:lang w:val="en-US" w:eastAsia="zh-CN" w:bidi="ar-SA"/>
            </w:rPr>
            <w:fldChar w:fldCharType="end"/>
          </w:r>
        </w:p>
        <w:p w14:paraId="65380D2D">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0" w:firstLineChars="0"/>
            <w:jc w:val="left"/>
            <w:textAlignment w:val="auto"/>
            <w:rPr>
              <w:rFonts w:hint="default" w:ascii="仿宋" w:hAnsi="仿宋" w:eastAsia="仿宋" w:cs="仿宋"/>
              <w:b w:val="0"/>
              <w:bCs w:val="0"/>
              <w:kern w:val="2"/>
              <w:sz w:val="28"/>
              <w:szCs w:val="28"/>
              <w:lang w:val="en-US" w:eastAsia="zh-CN" w:bidi="ar-SA"/>
            </w:rPr>
          </w:pPr>
          <w:r>
            <w:rPr>
              <w:rFonts w:hint="eastAsia" w:ascii="仿宋" w:hAnsi="仿宋" w:eastAsia="仿宋" w:cs="仿宋"/>
              <w:b/>
              <w:bCs/>
              <w:snapToGrid w:val="0"/>
              <w:color w:val="000000"/>
              <w:spacing w:val="-19"/>
              <w:w w:val="98"/>
              <w:kern w:val="0"/>
              <w:sz w:val="28"/>
              <w:szCs w:val="28"/>
              <w:lang w:val="en-US" w:eastAsia="zh-CN" w:bidi="ar-SA"/>
            </w:rPr>
            <w:fldChar w:fldCharType="begin"/>
          </w:r>
          <w:r>
            <w:rPr>
              <w:rFonts w:hint="eastAsia" w:ascii="仿宋" w:hAnsi="仿宋" w:eastAsia="仿宋" w:cs="仿宋"/>
              <w:b/>
              <w:bCs/>
              <w:snapToGrid w:val="0"/>
              <w:spacing w:val="-19"/>
              <w:w w:val="98"/>
              <w:kern w:val="0"/>
              <w:sz w:val="28"/>
              <w:szCs w:val="28"/>
              <w:lang w:val="en-US" w:eastAsia="zh-CN" w:bidi="ar-SA"/>
            </w:rPr>
            <w:instrText xml:space="preserve"> HYPERLINK \l _Toc11396 </w:instrText>
          </w:r>
          <w:r>
            <w:rPr>
              <w:rFonts w:hint="eastAsia" w:ascii="仿宋" w:hAnsi="仿宋" w:eastAsia="仿宋" w:cs="仿宋"/>
              <w:b/>
              <w:bCs/>
              <w:snapToGrid w:val="0"/>
              <w:spacing w:val="-19"/>
              <w:w w:val="98"/>
              <w:kern w:val="0"/>
              <w:sz w:val="28"/>
              <w:szCs w:val="28"/>
              <w:lang w:val="en-US" w:eastAsia="zh-CN" w:bidi="ar-SA"/>
            </w:rPr>
            <w:fldChar w:fldCharType="separate"/>
          </w:r>
          <w:r>
            <w:rPr>
              <w:rFonts w:hint="eastAsia" w:ascii="仿宋" w:hAnsi="仿宋" w:eastAsia="仿宋" w:cs="仿宋"/>
              <w:b/>
              <w:bCs/>
              <w:snapToGrid w:val="0"/>
              <w:spacing w:val="4"/>
              <w:kern w:val="0"/>
              <w:position w:val="1"/>
              <w:sz w:val="28"/>
              <w:szCs w:val="28"/>
              <w:lang w:val="en-US" w:eastAsia="zh-CN" w:bidi="ar-SA"/>
            </w:rPr>
            <w:t>第三章  主要任务</w:t>
          </w:r>
          <w:r>
            <w:rPr>
              <w:rFonts w:hint="eastAsia" w:ascii="仿宋" w:hAnsi="仿宋" w:eastAsia="仿宋" w:cs="仿宋"/>
              <w:b/>
              <w:bCs/>
              <w:kern w:val="2"/>
              <w:sz w:val="28"/>
              <w:szCs w:val="28"/>
              <w:lang w:val="en-US" w:eastAsia="zh-CN" w:bidi="ar-SA"/>
            </w:rPr>
            <w:tab/>
          </w:r>
          <w:r>
            <w:rPr>
              <w:rFonts w:hint="eastAsia" w:ascii="仿宋" w:hAnsi="仿宋" w:eastAsia="仿宋" w:cs="仿宋"/>
              <w:b/>
              <w:bCs/>
              <w:snapToGrid w:val="0"/>
              <w:color w:val="000000"/>
              <w:spacing w:val="-19"/>
              <w:w w:val="98"/>
              <w:kern w:val="0"/>
              <w:sz w:val="28"/>
              <w:szCs w:val="28"/>
              <w:lang w:val="en-US" w:eastAsia="zh-CN" w:bidi="ar-SA"/>
            </w:rPr>
            <w:fldChar w:fldCharType="end"/>
          </w:r>
          <w:r>
            <w:rPr>
              <w:rFonts w:hint="eastAsia" w:ascii="仿宋" w:hAnsi="仿宋" w:eastAsia="仿宋" w:cs="仿宋"/>
              <w:b w:val="0"/>
              <w:bCs w:val="0"/>
              <w:snapToGrid w:val="0"/>
              <w:color w:val="000000"/>
              <w:spacing w:val="-19"/>
              <w:w w:val="98"/>
              <w:kern w:val="0"/>
              <w:sz w:val="28"/>
              <w:szCs w:val="28"/>
              <w:lang w:val="en-US" w:eastAsia="zh-CN" w:bidi="ar-SA"/>
            </w:rPr>
            <w:t>10</w:t>
          </w:r>
        </w:p>
        <w:p w14:paraId="0B9B9494">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default"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_Toc4231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7"/>
              <w:kern w:val="0"/>
              <w:sz w:val="28"/>
              <w:szCs w:val="28"/>
              <w:lang w:val="en-US" w:eastAsia="zh-CN" w:bidi="ar-SA"/>
            </w:rPr>
            <w:t>第一节  推进自然灾害防治体系现代化</w:t>
          </w:r>
          <w:r>
            <w:rPr>
              <w:rFonts w:hint="eastAsia" w:ascii="仿宋" w:hAnsi="仿宋" w:eastAsia="仿宋" w:cs="仿宋"/>
              <w:kern w:val="2"/>
              <w:sz w:val="28"/>
              <w:szCs w:val="28"/>
              <w:lang w:val="en-US" w:eastAsia="zh-CN" w:bidi="ar-SA"/>
            </w:rPr>
            <w:tab/>
          </w:r>
          <w:r>
            <w:rPr>
              <w:rFonts w:hint="eastAsia" w:ascii="仿宋" w:hAnsi="仿宋" w:eastAsia="仿宋" w:cs="仿宋"/>
              <w:snapToGrid w:val="0"/>
              <w:color w:val="000000"/>
              <w:spacing w:val="-19"/>
              <w:w w:val="98"/>
              <w:kern w:val="0"/>
              <w:sz w:val="28"/>
              <w:szCs w:val="28"/>
              <w:lang w:val="en-US" w:eastAsia="zh-CN" w:bidi="ar-SA"/>
            </w:rPr>
            <w:fldChar w:fldCharType="end"/>
          </w:r>
          <w:r>
            <w:rPr>
              <w:rFonts w:hint="eastAsia" w:ascii="仿宋" w:hAnsi="仿宋" w:eastAsia="仿宋" w:cs="仿宋"/>
              <w:snapToGrid w:val="0"/>
              <w:color w:val="000000"/>
              <w:spacing w:val="-19"/>
              <w:w w:val="98"/>
              <w:kern w:val="0"/>
              <w:sz w:val="28"/>
              <w:szCs w:val="28"/>
              <w:lang w:val="en-US" w:eastAsia="zh-CN" w:bidi="ar-SA"/>
            </w:rPr>
            <w:t>10</w:t>
          </w:r>
        </w:p>
        <w:p w14:paraId="7920A213">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default"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_Toc22743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7"/>
              <w:kern w:val="0"/>
              <w:sz w:val="28"/>
              <w:szCs w:val="28"/>
              <w:lang w:val="en-US" w:eastAsia="zh-CN" w:bidi="ar-SA"/>
            </w:rPr>
            <w:t>第二节  推进自然灾害防治能力现代化</w:t>
          </w:r>
          <w:r>
            <w:rPr>
              <w:rFonts w:hint="eastAsia" w:ascii="仿宋" w:hAnsi="仿宋" w:eastAsia="仿宋" w:cs="仿宋"/>
              <w:kern w:val="2"/>
              <w:sz w:val="28"/>
              <w:szCs w:val="28"/>
              <w:lang w:val="en-US" w:eastAsia="zh-CN" w:bidi="ar-SA"/>
            </w:rPr>
            <w:tab/>
          </w:r>
          <w:r>
            <w:rPr>
              <w:rFonts w:hint="eastAsia" w:ascii="仿宋" w:hAnsi="仿宋" w:eastAsia="仿宋" w:cs="仿宋"/>
              <w:snapToGrid w:val="0"/>
              <w:color w:val="000000"/>
              <w:spacing w:val="-19"/>
              <w:w w:val="98"/>
              <w:kern w:val="0"/>
              <w:sz w:val="28"/>
              <w:szCs w:val="28"/>
              <w:lang w:val="en-US" w:eastAsia="zh-CN" w:bidi="ar-SA"/>
            </w:rPr>
            <w:fldChar w:fldCharType="end"/>
          </w:r>
          <w:r>
            <w:rPr>
              <w:rFonts w:hint="eastAsia" w:ascii="仿宋" w:hAnsi="仿宋" w:eastAsia="仿宋" w:cs="仿宋"/>
              <w:snapToGrid w:val="0"/>
              <w:color w:val="000000"/>
              <w:spacing w:val="-19"/>
              <w:w w:val="98"/>
              <w:kern w:val="0"/>
              <w:sz w:val="28"/>
              <w:szCs w:val="28"/>
              <w:lang w:val="en-US" w:eastAsia="zh-CN" w:bidi="ar-SA"/>
            </w:rPr>
            <w:t>12</w:t>
          </w:r>
        </w:p>
        <w:p w14:paraId="31139476">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0" w:firstLineChars="0"/>
            <w:jc w:val="left"/>
            <w:textAlignment w:val="auto"/>
            <w:rPr>
              <w:rFonts w:hint="default" w:ascii="仿宋" w:hAnsi="仿宋" w:eastAsia="仿宋" w:cs="仿宋"/>
              <w:kern w:val="2"/>
              <w:sz w:val="28"/>
              <w:szCs w:val="28"/>
              <w:lang w:val="en-US" w:eastAsia="zh-CN" w:bidi="ar-SA"/>
            </w:rPr>
          </w:pPr>
          <w:r>
            <w:rPr>
              <w:rFonts w:hint="eastAsia" w:ascii="仿宋" w:hAnsi="仿宋" w:eastAsia="仿宋" w:cs="仿宋"/>
              <w:b/>
              <w:bCs/>
              <w:snapToGrid w:val="0"/>
              <w:color w:val="000000"/>
              <w:spacing w:val="-19"/>
              <w:w w:val="98"/>
              <w:kern w:val="0"/>
              <w:sz w:val="28"/>
              <w:szCs w:val="28"/>
              <w:lang w:val="en-US" w:eastAsia="zh-CN" w:bidi="ar-SA"/>
            </w:rPr>
            <w:fldChar w:fldCharType="begin"/>
          </w:r>
          <w:r>
            <w:rPr>
              <w:rFonts w:hint="eastAsia" w:ascii="仿宋" w:hAnsi="仿宋" w:eastAsia="仿宋" w:cs="仿宋"/>
              <w:b/>
              <w:bCs/>
              <w:snapToGrid w:val="0"/>
              <w:spacing w:val="-19"/>
              <w:w w:val="98"/>
              <w:kern w:val="0"/>
              <w:sz w:val="28"/>
              <w:szCs w:val="28"/>
              <w:lang w:val="en-US" w:eastAsia="zh-CN" w:bidi="ar-SA"/>
            </w:rPr>
            <w:instrText xml:space="preserve"> HYPERLINK \l _Toc22156 </w:instrText>
          </w:r>
          <w:r>
            <w:rPr>
              <w:rFonts w:hint="eastAsia" w:ascii="仿宋" w:hAnsi="仿宋" w:eastAsia="仿宋" w:cs="仿宋"/>
              <w:b/>
              <w:bCs/>
              <w:snapToGrid w:val="0"/>
              <w:spacing w:val="-19"/>
              <w:w w:val="98"/>
              <w:kern w:val="0"/>
              <w:sz w:val="28"/>
              <w:szCs w:val="28"/>
              <w:lang w:val="en-US" w:eastAsia="zh-CN" w:bidi="ar-SA"/>
            </w:rPr>
            <w:fldChar w:fldCharType="separate"/>
          </w:r>
          <w:r>
            <w:rPr>
              <w:rFonts w:hint="eastAsia" w:ascii="仿宋" w:hAnsi="仿宋" w:eastAsia="仿宋" w:cs="仿宋"/>
              <w:b/>
              <w:bCs/>
              <w:snapToGrid w:val="0"/>
              <w:kern w:val="0"/>
              <w:position w:val="1"/>
              <w:sz w:val="28"/>
              <w:szCs w:val="28"/>
              <w:lang w:val="en-US" w:eastAsia="zh-CN" w:bidi="ar-SA"/>
            </w:rPr>
            <w:t>第四章  重点项目</w:t>
          </w:r>
          <w:r>
            <w:rPr>
              <w:rFonts w:hint="eastAsia" w:ascii="仿宋" w:hAnsi="仿宋" w:eastAsia="仿宋" w:cs="仿宋"/>
              <w:b/>
              <w:bCs/>
              <w:kern w:val="2"/>
              <w:sz w:val="28"/>
              <w:szCs w:val="28"/>
              <w:lang w:val="en-US" w:eastAsia="zh-CN" w:bidi="ar-SA"/>
            </w:rPr>
            <w:tab/>
          </w:r>
          <w:r>
            <w:rPr>
              <w:rFonts w:hint="eastAsia" w:ascii="仿宋" w:hAnsi="仿宋" w:eastAsia="仿宋" w:cs="仿宋"/>
              <w:b/>
              <w:bCs/>
              <w:snapToGrid w:val="0"/>
              <w:color w:val="000000"/>
              <w:spacing w:val="-19"/>
              <w:w w:val="98"/>
              <w:kern w:val="0"/>
              <w:sz w:val="28"/>
              <w:szCs w:val="28"/>
              <w:lang w:val="en-US" w:eastAsia="zh-CN" w:bidi="ar-SA"/>
            </w:rPr>
            <w:fldChar w:fldCharType="end"/>
          </w:r>
          <w:r>
            <w:rPr>
              <w:rFonts w:hint="eastAsia" w:ascii="仿宋" w:hAnsi="仿宋" w:eastAsia="仿宋" w:cs="仿宋"/>
              <w:b w:val="0"/>
              <w:bCs w:val="0"/>
              <w:snapToGrid w:val="0"/>
              <w:color w:val="000000"/>
              <w:spacing w:val="-19"/>
              <w:w w:val="98"/>
              <w:kern w:val="0"/>
              <w:sz w:val="28"/>
              <w:szCs w:val="28"/>
              <w:lang w:val="en-US" w:eastAsia="zh-CN" w:bidi="ar-SA"/>
            </w:rPr>
            <w:t>13</w:t>
          </w:r>
        </w:p>
        <w:p w14:paraId="27E010CB">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default"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_Toc32369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snapToGrid w:val="0"/>
              <w:spacing w:val="5"/>
              <w:kern w:val="0"/>
              <w:sz w:val="28"/>
              <w:szCs w:val="28"/>
              <w:lang w:val="en-US" w:eastAsia="zh-CN" w:bidi="ar-SA"/>
            </w:rPr>
            <w:t>第一节  防灾减灾救灾能力提升项目</w:t>
          </w:r>
          <w:r>
            <w:rPr>
              <w:rFonts w:hint="eastAsia" w:ascii="仿宋" w:hAnsi="仿宋" w:eastAsia="仿宋" w:cs="仿宋"/>
              <w:kern w:val="2"/>
              <w:sz w:val="28"/>
              <w:szCs w:val="28"/>
              <w:lang w:val="en-US" w:eastAsia="zh-CN" w:bidi="ar-SA"/>
            </w:rPr>
            <w:tab/>
          </w:r>
          <w:r>
            <w:rPr>
              <w:rFonts w:hint="eastAsia" w:ascii="仿宋" w:hAnsi="仿宋" w:eastAsia="仿宋" w:cs="仿宋"/>
              <w:snapToGrid w:val="0"/>
              <w:color w:val="000000"/>
              <w:spacing w:val="-19"/>
              <w:w w:val="98"/>
              <w:kern w:val="0"/>
              <w:sz w:val="28"/>
              <w:szCs w:val="28"/>
              <w:lang w:val="en-US" w:eastAsia="zh-CN" w:bidi="ar-SA"/>
            </w:rPr>
            <w:fldChar w:fldCharType="end"/>
          </w:r>
          <w:r>
            <w:rPr>
              <w:rFonts w:hint="eastAsia" w:ascii="仿宋" w:hAnsi="仿宋" w:eastAsia="仿宋" w:cs="仿宋"/>
              <w:snapToGrid w:val="0"/>
              <w:color w:val="000000"/>
              <w:spacing w:val="-19"/>
              <w:w w:val="98"/>
              <w:kern w:val="0"/>
              <w:sz w:val="28"/>
              <w:szCs w:val="28"/>
              <w:lang w:val="en-US" w:eastAsia="zh-CN" w:bidi="ar-SA"/>
            </w:rPr>
            <w:t>13</w:t>
          </w:r>
        </w:p>
        <w:p w14:paraId="1828B45C">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341" w:firstLineChars="100"/>
            <w:jc w:val="left"/>
            <w:textAlignment w:val="auto"/>
            <w:rPr>
              <w:rFonts w:hint="default" w:ascii="仿宋" w:hAnsi="仿宋" w:eastAsia="仿宋" w:cs="仿宋"/>
              <w:kern w:val="2"/>
              <w:sz w:val="28"/>
              <w:szCs w:val="28"/>
              <w:lang w:val="en-US" w:eastAsia="zh-CN" w:bidi="ar-SA"/>
            </w:rPr>
          </w:pPr>
          <w:r>
            <w:rPr>
              <w:rFonts w:hint="eastAsia" w:ascii="仿宋" w:hAnsi="仿宋" w:eastAsia="仿宋" w:cs="仿宋"/>
              <w:snapToGrid w:val="0"/>
              <w:color w:val="000000"/>
              <w:spacing w:val="-19"/>
              <w:w w:val="98"/>
              <w:kern w:val="0"/>
              <w:sz w:val="28"/>
              <w:szCs w:val="28"/>
              <w:lang w:val="en-US" w:eastAsia="zh-CN" w:bidi="ar-SA"/>
            </w:rPr>
            <w:fldChar w:fldCharType="begin"/>
          </w:r>
          <w:r>
            <w:rPr>
              <w:rFonts w:hint="eastAsia" w:ascii="仿宋" w:hAnsi="仿宋" w:eastAsia="仿宋" w:cs="仿宋"/>
              <w:snapToGrid w:val="0"/>
              <w:spacing w:val="-19"/>
              <w:w w:val="98"/>
              <w:kern w:val="0"/>
              <w:sz w:val="28"/>
              <w:szCs w:val="28"/>
              <w:lang w:val="en-US" w:eastAsia="zh-CN" w:bidi="ar-SA"/>
            </w:rPr>
            <w:instrText xml:space="preserve"> HYPERLINK \l _Toc29929 </w:instrText>
          </w:r>
          <w:r>
            <w:rPr>
              <w:rFonts w:hint="eastAsia" w:ascii="仿宋" w:hAnsi="仿宋" w:eastAsia="仿宋" w:cs="仿宋"/>
              <w:snapToGrid w:val="0"/>
              <w:spacing w:val="-19"/>
              <w:w w:val="98"/>
              <w:kern w:val="0"/>
              <w:sz w:val="28"/>
              <w:szCs w:val="28"/>
              <w:lang w:val="en-US" w:eastAsia="zh-CN" w:bidi="ar-SA"/>
            </w:rPr>
            <w:fldChar w:fldCharType="separate"/>
          </w:r>
          <w:r>
            <w:rPr>
              <w:rFonts w:hint="eastAsia" w:ascii="仿宋" w:hAnsi="仿宋" w:eastAsia="仿宋" w:cs="仿宋"/>
              <w:bCs/>
              <w:snapToGrid w:val="0"/>
              <w:spacing w:val="5"/>
              <w:kern w:val="0"/>
              <w:sz w:val="28"/>
              <w:szCs w:val="28"/>
              <w:lang w:val="en-US" w:eastAsia="zh-CN" w:bidi="ar-SA"/>
            </w:rPr>
            <w:t>第二节  气象防灾减灾综合能力提升项目</w:t>
          </w:r>
          <w:r>
            <w:rPr>
              <w:rFonts w:hint="eastAsia" w:ascii="仿宋" w:hAnsi="仿宋" w:eastAsia="仿宋" w:cs="仿宋"/>
              <w:kern w:val="2"/>
              <w:sz w:val="28"/>
              <w:szCs w:val="28"/>
              <w:lang w:val="en-US" w:eastAsia="zh-CN" w:bidi="ar-SA"/>
            </w:rPr>
            <w:tab/>
          </w:r>
          <w:r>
            <w:rPr>
              <w:rFonts w:hint="eastAsia" w:ascii="仿宋" w:hAnsi="仿宋" w:eastAsia="仿宋" w:cs="仿宋"/>
              <w:snapToGrid w:val="0"/>
              <w:color w:val="000000"/>
              <w:spacing w:val="-19"/>
              <w:w w:val="98"/>
              <w:kern w:val="0"/>
              <w:sz w:val="28"/>
              <w:szCs w:val="28"/>
              <w:lang w:val="en-US" w:eastAsia="zh-CN" w:bidi="ar-SA"/>
            </w:rPr>
            <w:fldChar w:fldCharType="end"/>
          </w:r>
          <w:r>
            <w:rPr>
              <w:rFonts w:hint="eastAsia" w:ascii="仿宋" w:hAnsi="仿宋" w:eastAsia="仿宋" w:cs="仿宋"/>
              <w:snapToGrid w:val="0"/>
              <w:color w:val="000000"/>
              <w:spacing w:val="-19"/>
              <w:w w:val="98"/>
              <w:kern w:val="0"/>
              <w:sz w:val="28"/>
              <w:szCs w:val="28"/>
              <w:lang w:val="en-US" w:eastAsia="zh-CN" w:bidi="ar-SA"/>
            </w:rPr>
            <w:t>1</w:t>
          </w:r>
          <w:r>
            <w:rPr>
              <w:rFonts w:hint="eastAsia" w:cs="仿宋"/>
              <w:snapToGrid w:val="0"/>
              <w:color w:val="000000"/>
              <w:spacing w:val="-19"/>
              <w:w w:val="98"/>
              <w:kern w:val="0"/>
              <w:sz w:val="28"/>
              <w:szCs w:val="28"/>
              <w:lang w:val="en-US" w:eastAsia="zh-CN" w:bidi="ar-SA"/>
            </w:rPr>
            <w:t>3</w:t>
          </w:r>
        </w:p>
        <w:p w14:paraId="28849417">
          <w:pPr>
            <w:keepNext w:val="0"/>
            <w:keepLines w:val="0"/>
            <w:pageBreakBefore w:val="0"/>
            <w:widowControl w:val="0"/>
            <w:tabs>
              <w:tab w:val="right" w:leader="dot" w:pos="8306"/>
            </w:tabs>
            <w:kinsoku/>
            <w:wordWrap/>
            <w:overflowPunct/>
            <w:topLinePunct w:val="0"/>
            <w:autoSpaceDE/>
            <w:autoSpaceDN/>
            <w:bidi w:val="0"/>
            <w:adjustRightInd/>
            <w:snapToGrid/>
            <w:spacing w:after="20" w:afterLines="20" w:line="560" w:lineRule="exact"/>
            <w:ind w:left="0" w:leftChars="0" w:firstLine="0" w:firstLineChars="0"/>
            <w:jc w:val="left"/>
            <w:textAlignment w:val="auto"/>
            <w:rPr>
              <w:rFonts w:hint="eastAsia" w:ascii="仿宋" w:hAnsi="仿宋" w:eastAsia="仿宋" w:cs="仿宋"/>
              <w:snapToGrid w:val="0"/>
              <w:color w:val="000000"/>
              <w:spacing w:val="-19"/>
              <w:w w:val="98"/>
              <w:kern w:val="0"/>
              <w:sz w:val="28"/>
              <w:szCs w:val="28"/>
              <w:lang w:val="en-US" w:eastAsia="zh-CN" w:bidi="ar-SA"/>
            </w:rPr>
          </w:pPr>
          <w:r>
            <w:rPr>
              <w:rFonts w:hint="eastAsia" w:ascii="仿宋" w:hAnsi="仿宋" w:eastAsia="仿宋" w:cs="仿宋"/>
              <w:b/>
              <w:bCs/>
              <w:snapToGrid w:val="0"/>
              <w:color w:val="000000"/>
              <w:spacing w:val="-19"/>
              <w:w w:val="98"/>
              <w:kern w:val="0"/>
              <w:sz w:val="28"/>
              <w:szCs w:val="28"/>
              <w:lang w:val="en-US" w:eastAsia="zh-CN" w:bidi="ar-SA"/>
            </w:rPr>
            <w:fldChar w:fldCharType="begin"/>
          </w:r>
          <w:r>
            <w:rPr>
              <w:rFonts w:hint="eastAsia" w:ascii="仿宋" w:hAnsi="仿宋" w:eastAsia="仿宋" w:cs="仿宋"/>
              <w:b/>
              <w:bCs/>
              <w:snapToGrid w:val="0"/>
              <w:spacing w:val="-19"/>
              <w:w w:val="98"/>
              <w:kern w:val="0"/>
              <w:sz w:val="28"/>
              <w:szCs w:val="28"/>
              <w:lang w:val="en-US" w:eastAsia="zh-CN" w:bidi="ar-SA"/>
            </w:rPr>
            <w:instrText xml:space="preserve"> HYPERLINK \l _Toc3225 </w:instrText>
          </w:r>
          <w:r>
            <w:rPr>
              <w:rFonts w:hint="eastAsia" w:ascii="仿宋" w:hAnsi="仿宋" w:eastAsia="仿宋" w:cs="仿宋"/>
              <w:b/>
              <w:bCs/>
              <w:snapToGrid w:val="0"/>
              <w:spacing w:val="-19"/>
              <w:w w:val="98"/>
              <w:kern w:val="0"/>
              <w:sz w:val="28"/>
              <w:szCs w:val="28"/>
              <w:lang w:val="en-US" w:eastAsia="zh-CN" w:bidi="ar-SA"/>
            </w:rPr>
            <w:fldChar w:fldCharType="separate"/>
          </w:r>
          <w:r>
            <w:rPr>
              <w:rFonts w:hint="eastAsia" w:ascii="仿宋" w:hAnsi="仿宋" w:eastAsia="仿宋" w:cs="仿宋"/>
              <w:b/>
              <w:bCs/>
              <w:snapToGrid w:val="0"/>
              <w:spacing w:val="3"/>
              <w:kern w:val="0"/>
              <w:sz w:val="28"/>
              <w:szCs w:val="28"/>
              <w:lang w:val="en-US" w:eastAsia="zh-CN" w:bidi="ar-SA"/>
            </w:rPr>
            <w:t>第五章  保障措施</w:t>
          </w:r>
          <w:r>
            <w:rPr>
              <w:rFonts w:hint="eastAsia" w:ascii="仿宋" w:hAnsi="仿宋" w:eastAsia="仿宋" w:cs="仿宋"/>
              <w:b/>
              <w:bCs/>
              <w:kern w:val="2"/>
              <w:sz w:val="28"/>
              <w:szCs w:val="28"/>
              <w:lang w:val="en-US" w:eastAsia="zh-CN" w:bidi="ar-SA"/>
            </w:rPr>
            <w:tab/>
          </w:r>
          <w:r>
            <w:rPr>
              <w:rFonts w:hint="eastAsia" w:ascii="仿宋" w:hAnsi="仿宋" w:eastAsia="仿宋" w:cs="仿宋"/>
              <w:b/>
              <w:bCs/>
              <w:snapToGrid w:val="0"/>
              <w:color w:val="000000"/>
              <w:spacing w:val="-19"/>
              <w:w w:val="98"/>
              <w:kern w:val="0"/>
              <w:sz w:val="28"/>
              <w:szCs w:val="28"/>
              <w:lang w:val="en-US" w:eastAsia="zh-CN" w:bidi="ar-SA"/>
            </w:rPr>
            <w:fldChar w:fldCharType="end"/>
          </w:r>
          <w:r>
            <w:rPr>
              <w:rFonts w:hint="eastAsia" w:ascii="仿宋" w:hAnsi="仿宋" w:eastAsia="仿宋" w:cs="仿宋"/>
              <w:b w:val="0"/>
              <w:bCs w:val="0"/>
              <w:snapToGrid w:val="0"/>
              <w:color w:val="000000"/>
              <w:spacing w:val="-19"/>
              <w:w w:val="98"/>
              <w:kern w:val="0"/>
              <w:sz w:val="28"/>
              <w:szCs w:val="28"/>
              <w:lang w:val="en-US" w:eastAsia="zh-CN" w:bidi="ar-SA"/>
            </w:rPr>
            <w:t>14</w:t>
          </w:r>
          <w:r>
            <w:rPr>
              <w:rFonts w:hint="eastAsia" w:ascii="仿宋" w:hAnsi="仿宋" w:eastAsia="仿宋" w:cs="仿宋"/>
              <w:snapToGrid w:val="0"/>
              <w:color w:val="000000"/>
              <w:spacing w:val="-19"/>
              <w:w w:val="98"/>
              <w:kern w:val="0"/>
              <w:sz w:val="28"/>
              <w:szCs w:val="28"/>
              <w:lang w:val="en-US" w:eastAsia="zh-CN" w:bidi="ar-SA"/>
            </w:rPr>
            <w:fldChar w:fldCharType="end"/>
          </w:r>
        </w:p>
        <w:p w14:paraId="1C3BA481">
          <w:pPr>
            <w:keepNext w:val="0"/>
            <w:keepLines w:val="0"/>
            <w:pageBreakBefore w:val="0"/>
            <w:widowControl w:val="0"/>
            <w:tabs>
              <w:tab w:val="left" w:pos="3375"/>
            </w:tabs>
            <w:kinsoku/>
            <w:wordWrap/>
            <w:overflowPunct/>
            <w:topLinePunct w:val="0"/>
            <w:autoSpaceDE/>
            <w:autoSpaceDN/>
            <w:bidi w:val="0"/>
            <w:adjustRightInd/>
            <w:snapToGrid/>
            <w:spacing w:line="560" w:lineRule="exact"/>
            <w:ind w:left="0" w:leftChars="0" w:firstLine="341" w:firstLineChars="100"/>
            <w:textAlignment w:val="auto"/>
            <w:rPr>
              <w:rFonts w:hint="eastAsia" w:ascii="仿宋" w:hAnsi="仿宋" w:eastAsia="仿宋" w:cs="仿宋"/>
              <w:snapToGrid w:val="0"/>
              <w:color w:val="000000"/>
              <w:spacing w:val="-19"/>
              <w:w w:val="98"/>
              <w:kern w:val="0"/>
              <w:sz w:val="28"/>
              <w:szCs w:val="28"/>
              <w:lang w:val="en-US" w:eastAsia="zh-CN"/>
            </w:rPr>
            <w:sectPr>
              <w:footerReference r:id="rId12" w:type="default"/>
              <w:pgSz w:w="11906" w:h="16838"/>
              <w:pgMar w:top="2098" w:right="1474" w:bottom="1984" w:left="1587" w:header="851" w:footer="992" w:gutter="0"/>
              <w:pgNumType w:start="1"/>
              <w:cols w:space="425" w:num="1"/>
              <w:rtlGutter w:val="0"/>
              <w:docGrid w:type="linesAndChars" w:linePitch="579" w:charSpace="21686"/>
            </w:sectPr>
          </w:pPr>
          <w:r>
            <w:rPr>
              <w:rFonts w:hint="eastAsia" w:cs="仿宋"/>
              <w:snapToGrid w:val="0"/>
              <w:color w:val="000000"/>
              <w:spacing w:val="-19"/>
              <w:w w:val="98"/>
              <w:kern w:val="0"/>
              <w:sz w:val="28"/>
              <w:szCs w:val="28"/>
              <w:lang w:val="en-US" w:eastAsia="zh-CN" w:bidi="ar-SA"/>
            </w:rPr>
            <w:tab/>
          </w:r>
        </w:p>
      </w:sdtContent>
    </w:sdt>
    <w:p w14:paraId="6FEE1C2B">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2ECCC5EC">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7C42DB70">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6D634EB1">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77AF0613">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52572FD7">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3D00AD87">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15A61248">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22D6779C">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2B06EC33">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2309057A">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4B80D5FE">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690A03AD">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786E06CC">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695CFEF7">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3FD47B87">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6355657B">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570EDD8F">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76591B2D">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60F852AD">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28D5B05D">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167D37E3">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pPr>
    </w:p>
    <w:p w14:paraId="4D7FDAA2">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jc w:val="center"/>
        <w:textAlignment w:val="auto"/>
        <w:outlineLvl w:val="0"/>
        <w:rPr>
          <w:rFonts w:hint="eastAsia" w:ascii="方正小标宋简体" w:hAnsi="方正小标宋简体" w:eastAsia="方正小标宋简体" w:cs="方正小标宋简体"/>
          <w:b w:val="0"/>
          <w:bCs w:val="0"/>
          <w:color w:val="auto"/>
          <w:spacing w:val="-9"/>
          <w:sz w:val="44"/>
          <w:szCs w:val="44"/>
          <w:lang w:val="en-US" w:eastAsia="zh-CN"/>
        </w:rPr>
        <w:sectPr>
          <w:footerReference r:id="rId13" w:type="default"/>
          <w:pgSz w:w="11906" w:h="16838"/>
          <w:pgMar w:top="2098" w:right="1474" w:bottom="1984" w:left="1587" w:header="851" w:footer="992" w:gutter="0"/>
          <w:pgNumType w:start="1"/>
          <w:cols w:space="425" w:num="1"/>
          <w:rtlGutter w:val="0"/>
          <w:docGrid w:type="linesAndChars" w:linePitch="579" w:charSpace="21686"/>
        </w:sectPr>
      </w:pPr>
    </w:p>
    <w:p w14:paraId="51CC906F">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snapToGrid w:val="0"/>
          <w:color w:val="auto"/>
          <w:spacing w:val="-6"/>
          <w:sz w:val="44"/>
          <w:szCs w:val="44"/>
          <w:lang w:val="en-US" w:eastAsia="zh-CN"/>
        </w:rPr>
      </w:pPr>
      <w:r>
        <w:rPr>
          <w:rFonts w:hint="eastAsia" w:ascii="方正小标宋简体" w:hAnsi="方正小标宋简体" w:eastAsia="方正小标宋简体" w:cs="方正小标宋简体"/>
          <w:snapToGrid w:val="0"/>
          <w:color w:val="auto"/>
          <w:spacing w:val="-6"/>
          <w:sz w:val="44"/>
          <w:szCs w:val="44"/>
          <w:lang w:val="en-US" w:eastAsia="zh-CN"/>
        </w:rPr>
        <w:t>墨玉县综合防灾减灾</w:t>
      </w:r>
    </w:p>
    <w:p w14:paraId="112C1AFB">
      <w:pPr>
        <w:keepNext w:val="0"/>
        <w:keepLines w:val="0"/>
        <w:pageBreakBefore w:val="0"/>
        <w:widowControl w:val="0"/>
        <w:kinsoku/>
        <w:wordWrap/>
        <w:overflowPunct/>
        <w:topLinePunct w:val="0"/>
        <w:autoSpaceDE/>
        <w:autoSpaceDN/>
        <w:bidi w:val="0"/>
        <w:adjustRightInd w:val="0"/>
        <w:snapToGrid w:val="0"/>
        <w:spacing w:after="0" w:afterLines="-2147483648" w:line="560" w:lineRule="exact"/>
        <w:ind w:firstLine="0" w:firstLineChars="0"/>
        <w:jc w:val="center"/>
        <w:textAlignment w:val="auto"/>
        <w:outlineLvl w:val="0"/>
        <w:rPr>
          <w:rFonts w:hint="eastAsia" w:ascii="宋体" w:hAnsi="宋体" w:eastAsia="宋体" w:cs="宋体"/>
          <w:b/>
          <w:bCs/>
          <w:snapToGrid w:val="0"/>
          <w:color w:val="auto"/>
          <w:spacing w:val="-6"/>
          <w:sz w:val="52"/>
          <w:szCs w:val="52"/>
          <w:lang w:val="en-US" w:eastAsia="zh-CN"/>
        </w:rPr>
      </w:pPr>
      <w:r>
        <w:rPr>
          <w:rFonts w:hint="eastAsia" w:ascii="方正小标宋简体" w:hAnsi="方正小标宋简体" w:eastAsia="方正小标宋简体" w:cs="方正小标宋简体"/>
          <w:snapToGrid w:val="0"/>
          <w:color w:val="auto"/>
          <w:spacing w:val="-6"/>
          <w:sz w:val="44"/>
          <w:szCs w:val="44"/>
          <w:lang w:val="en-US" w:eastAsia="zh-CN"/>
        </w:rPr>
        <w:t>“十五五”实施方案（2026—2030年）</w:t>
      </w:r>
    </w:p>
    <w:p w14:paraId="20055889">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snapToGrid w:val="0"/>
          <w:color w:val="auto"/>
          <w:spacing w:val="-6"/>
          <w:sz w:val="44"/>
          <w:szCs w:val="44"/>
          <w:lang w:val="en-US" w:eastAsia="zh-CN"/>
        </w:rPr>
      </w:pPr>
    </w:p>
    <w:p w14:paraId="33262D95">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snapToGrid w:val="0"/>
          <w:color w:val="auto"/>
          <w:spacing w:val="13"/>
          <w:kern w:val="0"/>
          <w:sz w:val="32"/>
          <w:szCs w:val="32"/>
          <w:lang w:val="en-US" w:eastAsia="zh-CN"/>
        </w:rPr>
        <w:t>党的二十大和二十届四中全会对提高防灾减灾救灾和重大突发公共事件处置保障能力、健全重大突发公共事件处置保障体系提出明确要求。为全面贯彻落实习近平总书记关于防灾减灾救灾工作重要指示精神和党中央、国务院决策部署，积极推进自然灾害防治体系和防治能力现代化，根据《中华人民共和国突发事件应对法》《新疆维吾尔自治区综合防灾减灾“十五五”规划》和《和田地区经济和社会发展第十五个五年规划和</w:t>
      </w:r>
      <w:r>
        <w:rPr>
          <w:rFonts w:hint="default" w:ascii="Times New Roman" w:hAnsi="Times New Roman" w:eastAsia="仿宋_GB2312" w:cs="Times New Roman"/>
          <w:snapToGrid w:val="0"/>
          <w:color w:val="auto"/>
          <w:spacing w:val="13"/>
          <w:kern w:val="0"/>
          <w:sz w:val="32"/>
          <w:szCs w:val="32"/>
          <w:lang w:val="en-US" w:eastAsia="zh-CN"/>
        </w:rPr>
        <w:t>2035</w:t>
      </w:r>
      <w:r>
        <w:rPr>
          <w:rFonts w:hint="eastAsia" w:ascii="仿宋_GB2312" w:hAnsi="仿宋_GB2312" w:eastAsia="仿宋_GB2312" w:cs="仿宋_GB2312"/>
          <w:snapToGrid w:val="0"/>
          <w:color w:val="auto"/>
          <w:spacing w:val="13"/>
          <w:kern w:val="0"/>
          <w:sz w:val="32"/>
          <w:szCs w:val="32"/>
          <w:lang w:val="en-US" w:eastAsia="zh-CN"/>
        </w:rPr>
        <w:t>年远景目标纲要》要求，制定本方案。</w:t>
      </w:r>
    </w:p>
    <w:p w14:paraId="7ECD6203">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right="0" w:firstLine="0" w:firstLineChars="0"/>
        <w:jc w:val="center"/>
        <w:textAlignment w:val="baseline"/>
        <w:outlineLvl w:val="0"/>
        <w:rPr>
          <w:rFonts w:hint="default" w:ascii="微软雅黑" w:hAnsi="微软雅黑" w:eastAsia="微软雅黑" w:cs="微软雅黑"/>
          <w:snapToGrid w:val="0"/>
          <w:color w:val="000000"/>
          <w:spacing w:val="6"/>
          <w:kern w:val="0"/>
          <w:sz w:val="31"/>
          <w:szCs w:val="31"/>
          <w:lang w:val="en-US" w:eastAsia="zh-CN" w:bidi="ar-SA"/>
        </w:rPr>
      </w:pPr>
      <w:r>
        <w:rPr>
          <w:rFonts w:hint="eastAsia" w:ascii="黑体" w:hAnsi="黑体" w:eastAsia="黑体" w:cs="黑体"/>
          <w:snapToGrid w:val="0"/>
          <w:color w:val="000000"/>
          <w:spacing w:val="6"/>
          <w:kern w:val="0"/>
          <w:sz w:val="32"/>
          <w:szCs w:val="32"/>
          <w:lang w:val="en-US" w:eastAsia="zh-CN" w:bidi="ar-SA"/>
        </w:rPr>
        <w:t>　　第一章  发展现状和面临的形势</w:t>
      </w:r>
    </w:p>
    <w:p w14:paraId="55802EFB">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right="0" w:firstLine="0" w:firstLineChars="0"/>
        <w:jc w:val="center"/>
        <w:textAlignment w:val="baseline"/>
        <w:outlineLvl w:val="1"/>
        <w:rPr>
          <w:rFonts w:hint="eastAsia" w:ascii="楷体" w:hAnsi="楷体" w:eastAsia="楷体" w:cs="楷体"/>
          <w:b/>
          <w:bCs/>
          <w:snapToGrid w:val="0"/>
          <w:color w:val="000000"/>
          <w:spacing w:val="6"/>
          <w:kern w:val="0"/>
          <w:sz w:val="32"/>
          <w:szCs w:val="32"/>
          <w:lang w:val="en-US" w:eastAsia="zh-CN"/>
        </w:rPr>
      </w:pPr>
      <w:r>
        <w:rPr>
          <w:rFonts w:hint="eastAsia" w:ascii="楷体" w:hAnsi="楷体" w:eastAsia="楷体" w:cs="楷体"/>
          <w:b/>
          <w:bCs/>
          <w:snapToGrid w:val="0"/>
          <w:color w:val="000000"/>
          <w:spacing w:val="6"/>
          <w:kern w:val="0"/>
          <w:sz w:val="32"/>
          <w:szCs w:val="32"/>
          <w:lang w:val="en-US" w:eastAsia="zh-CN"/>
        </w:rPr>
        <w:t>　　</w:t>
      </w:r>
      <w:r>
        <w:rPr>
          <w:rFonts w:hint="eastAsia" w:ascii="方正楷体简体" w:hAnsi="方正楷体简体" w:eastAsia="方正楷体简体" w:cs="方正楷体简体"/>
          <w:b/>
          <w:bCs/>
          <w:snapToGrid w:val="0"/>
          <w:color w:val="auto"/>
          <w:spacing w:val="3"/>
          <w:kern w:val="0"/>
          <w:sz w:val="32"/>
          <w:szCs w:val="32"/>
          <w:lang w:val="en-US" w:eastAsia="zh-CN"/>
        </w:rPr>
        <w:t>第一节 “十四五”时期防灾减灾救灾工作成效</w:t>
      </w:r>
    </w:p>
    <w:p w14:paraId="27A2BDAB">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left"/>
        <w:textAlignment w:val="baseline"/>
        <w:outlineLvl w:val="2"/>
        <w:rPr>
          <w:rFonts w:hint="eastAsia" w:ascii="仿宋_GB2312" w:hAnsi="仿宋_GB2312" w:eastAsia="仿宋_GB2312" w:cs="仿宋_GB2312"/>
          <w:b/>
          <w:bCs/>
          <w:snapToGrid w:val="0"/>
          <w:color w:val="000000"/>
          <w:spacing w:val="6"/>
          <w:kern w:val="0"/>
          <w:sz w:val="32"/>
          <w:szCs w:val="32"/>
          <w:lang w:val="en-US" w:eastAsia="zh-CN"/>
        </w:rPr>
      </w:pPr>
      <w:r>
        <w:rPr>
          <w:rFonts w:hint="eastAsia" w:ascii="楷体" w:hAnsi="楷体" w:eastAsia="楷体" w:cs="楷体"/>
          <w:b/>
          <w:bCs/>
          <w:snapToGrid w:val="0"/>
          <w:color w:val="000000"/>
          <w:spacing w:val="6"/>
          <w:kern w:val="0"/>
          <w:sz w:val="32"/>
          <w:szCs w:val="32"/>
          <w:lang w:val="en-US" w:eastAsia="zh-CN"/>
        </w:rPr>
        <w:t>　　</w:t>
      </w:r>
      <w:r>
        <w:rPr>
          <w:rFonts w:hint="eastAsia" w:ascii="仿宋_GB2312" w:hAnsi="仿宋_GB2312" w:eastAsia="仿宋_GB2312" w:cs="仿宋_GB2312"/>
          <w:b/>
          <w:bCs/>
          <w:snapToGrid w:val="0"/>
          <w:color w:val="000000"/>
          <w:spacing w:val="6"/>
          <w:kern w:val="0"/>
          <w:sz w:val="32"/>
          <w:szCs w:val="32"/>
          <w:lang w:val="en-US" w:eastAsia="zh-CN"/>
        </w:rPr>
        <w:t>一、总体进展情况</w:t>
      </w:r>
    </w:p>
    <w:p w14:paraId="67AAFB98">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napToGrid w:val="0"/>
          <w:color w:val="auto"/>
          <w:spacing w:val="13"/>
          <w:kern w:val="0"/>
          <w:sz w:val="32"/>
          <w:szCs w:val="32"/>
          <w:lang w:val="en-US" w:eastAsia="zh-CN"/>
        </w:rPr>
        <w:t>　　“十四五”期间，在党中央、国务院关于防灾减灾救灾工作决策部署指引下，在自治区及地区大力支持下，我县防灾减灾救灾体系建设取得显著成效。</w:t>
      </w:r>
    </w:p>
    <w:p w14:paraId="7D29B3F6">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napToGrid w:val="0"/>
          <w:color w:val="auto"/>
          <w:spacing w:val="13"/>
          <w:kern w:val="0"/>
          <w:sz w:val="32"/>
          <w:szCs w:val="32"/>
          <w:lang w:val="en-US" w:eastAsia="zh-CN"/>
        </w:rPr>
        <w:t>　　自然灾害管理体系持续完善。县政府严格落实“综合协调、分类管理、分级负责、属地管理为主”的应急管理工作体系，依据《墨玉县机构改革方案》整合优化应急力量与资源，稳步推进“三定方案”落实，组建墨玉县应急管理局，并下设墨玉县矿山安全服务保障中心。按照地区安委办要求，完成县减灾委、县抗震救灾指挥部与县安全生产委员会办公室合并工作，充分发挥县安委办在综合应急管理中的协调作用；持续强化县安委会对行业领域安全监管、防灾减灾及抗震救灾工作的统筹管理，提升安全生产与应急管理工作规范化、科学化水平。</w:t>
      </w:r>
    </w:p>
    <w:p w14:paraId="4BABF811">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综合防灾减灾能力显著增强。我县将应急队伍建设作为“十四五”期间基础性工作重点推进，组建县专业应急救援队伍共</w:t>
      </w:r>
      <w:r>
        <w:rPr>
          <w:rFonts w:hint="eastAsia" w:ascii="Times New Roman" w:hAnsi="Times New Roman" w:eastAsia="仿宋_GB2312" w:cs="Times New Roman"/>
          <w:snapToGrid w:val="0"/>
          <w:color w:val="auto"/>
          <w:spacing w:val="13"/>
          <w:kern w:val="0"/>
          <w:sz w:val="32"/>
          <w:szCs w:val="32"/>
          <w:lang w:val="en-US" w:eastAsia="zh-CN"/>
        </w:rPr>
        <w:t>18</w:t>
      </w:r>
      <w:r>
        <w:rPr>
          <w:rFonts w:hint="eastAsia" w:ascii="仿宋_GB2312" w:hAnsi="仿宋_GB2312" w:eastAsia="仿宋_GB2312" w:cs="仿宋_GB2312"/>
          <w:snapToGrid w:val="0"/>
          <w:color w:val="auto"/>
          <w:spacing w:val="13"/>
          <w:kern w:val="0"/>
          <w:sz w:val="32"/>
          <w:szCs w:val="32"/>
          <w:lang w:val="en-US" w:eastAsia="zh-CN"/>
        </w:rPr>
        <w:t>类</w:t>
      </w:r>
      <w:r>
        <w:rPr>
          <w:rFonts w:hint="eastAsia" w:ascii="Times New Roman" w:hAnsi="Times New Roman" w:eastAsia="仿宋_GB2312" w:cs="Times New Roman"/>
          <w:snapToGrid w:val="0"/>
          <w:color w:val="auto"/>
          <w:spacing w:val="13"/>
          <w:kern w:val="0"/>
          <w:sz w:val="32"/>
          <w:szCs w:val="32"/>
          <w:lang w:val="en-US" w:eastAsia="zh-CN"/>
        </w:rPr>
        <w:t>43</w:t>
      </w:r>
      <w:r>
        <w:rPr>
          <w:rFonts w:hint="eastAsia" w:ascii="仿宋_GB2312" w:hAnsi="仿宋_GB2312" w:eastAsia="仿宋_GB2312" w:cs="仿宋_GB2312"/>
          <w:snapToGrid w:val="0"/>
          <w:color w:val="auto"/>
          <w:spacing w:val="13"/>
          <w:kern w:val="0"/>
          <w:sz w:val="32"/>
          <w:szCs w:val="32"/>
          <w:lang w:val="en-US" w:eastAsia="zh-CN"/>
        </w:rPr>
        <w:t>支</w:t>
      </w:r>
      <w:r>
        <w:rPr>
          <w:rFonts w:hint="eastAsia" w:ascii="Times New Roman" w:hAnsi="Times New Roman" w:eastAsia="仿宋_GB2312" w:cs="Times New Roman"/>
          <w:snapToGrid w:val="0"/>
          <w:color w:val="auto"/>
          <w:spacing w:val="13"/>
          <w:kern w:val="0"/>
          <w:sz w:val="32"/>
          <w:szCs w:val="32"/>
          <w:lang w:val="en-US" w:eastAsia="zh-CN"/>
        </w:rPr>
        <w:t>437</w:t>
      </w:r>
      <w:r>
        <w:rPr>
          <w:rFonts w:hint="eastAsia" w:ascii="仿宋_GB2312" w:hAnsi="仿宋_GB2312" w:eastAsia="仿宋_GB2312" w:cs="仿宋_GB2312"/>
          <w:snapToGrid w:val="0"/>
          <w:color w:val="auto"/>
          <w:spacing w:val="13"/>
          <w:kern w:val="0"/>
          <w:sz w:val="32"/>
          <w:szCs w:val="32"/>
          <w:lang w:val="en-US" w:eastAsia="zh-CN"/>
        </w:rPr>
        <w:t>人，乡、村两级应急救援力量共</w:t>
      </w:r>
      <w:r>
        <w:rPr>
          <w:rFonts w:hint="eastAsia" w:ascii="Times New Roman" w:hAnsi="Times New Roman" w:eastAsia="仿宋_GB2312" w:cs="Times New Roman"/>
          <w:snapToGrid w:val="0"/>
          <w:color w:val="auto"/>
          <w:spacing w:val="13"/>
          <w:kern w:val="0"/>
          <w:sz w:val="32"/>
          <w:szCs w:val="32"/>
          <w:lang w:val="en-US" w:eastAsia="zh-CN"/>
        </w:rPr>
        <w:t>426</w:t>
      </w:r>
      <w:r>
        <w:rPr>
          <w:rFonts w:hint="eastAsia" w:ascii="仿宋_GB2312" w:hAnsi="仿宋_GB2312" w:eastAsia="仿宋_GB2312" w:cs="仿宋_GB2312"/>
          <w:snapToGrid w:val="0"/>
          <w:color w:val="auto"/>
          <w:spacing w:val="13"/>
          <w:kern w:val="0"/>
          <w:sz w:val="32"/>
          <w:szCs w:val="32"/>
          <w:lang w:val="en-US" w:eastAsia="zh-CN"/>
        </w:rPr>
        <w:t>支</w:t>
      </w:r>
      <w:r>
        <w:rPr>
          <w:rFonts w:hint="eastAsia" w:ascii="Times New Roman" w:hAnsi="Times New Roman" w:eastAsia="仿宋_GB2312" w:cs="Times New Roman"/>
          <w:snapToGrid w:val="0"/>
          <w:color w:val="auto"/>
          <w:spacing w:val="13"/>
          <w:kern w:val="0"/>
          <w:sz w:val="32"/>
          <w:szCs w:val="32"/>
          <w:lang w:val="en-US" w:eastAsia="zh-CN"/>
        </w:rPr>
        <w:t>4260</w:t>
      </w:r>
      <w:r>
        <w:rPr>
          <w:rFonts w:hint="eastAsia" w:ascii="仿宋_GB2312" w:hAnsi="仿宋_GB2312" w:eastAsia="仿宋_GB2312" w:cs="仿宋_GB2312"/>
          <w:snapToGrid w:val="0"/>
          <w:color w:val="auto"/>
          <w:spacing w:val="13"/>
          <w:kern w:val="0"/>
          <w:sz w:val="32"/>
          <w:szCs w:val="32"/>
          <w:lang w:val="en-US" w:eastAsia="zh-CN"/>
        </w:rPr>
        <w:t>人，灾害信息员（报灾员）</w:t>
      </w:r>
      <w:r>
        <w:rPr>
          <w:rFonts w:hint="eastAsia" w:ascii="Times New Roman" w:hAnsi="Times New Roman" w:eastAsia="仿宋_GB2312" w:cs="Times New Roman"/>
          <w:snapToGrid w:val="0"/>
          <w:color w:val="auto"/>
          <w:spacing w:val="13"/>
          <w:kern w:val="0"/>
          <w:sz w:val="32"/>
          <w:szCs w:val="32"/>
          <w:lang w:val="en-US" w:eastAsia="zh-CN"/>
        </w:rPr>
        <w:t>1320</w:t>
      </w:r>
      <w:r>
        <w:rPr>
          <w:rFonts w:hint="eastAsia" w:ascii="仿宋_GB2312" w:hAnsi="仿宋_GB2312" w:eastAsia="仿宋_GB2312" w:cs="仿宋_GB2312"/>
          <w:snapToGrid w:val="0"/>
          <w:color w:val="auto"/>
          <w:spacing w:val="13"/>
          <w:kern w:val="0"/>
          <w:sz w:val="32"/>
          <w:szCs w:val="32"/>
          <w:lang w:val="en-US" w:eastAsia="zh-CN"/>
        </w:rPr>
        <w:t>名，确保应急队伍“拉得出、稳得住、能救援”；相关人员信息已按要求录入“全国应急信息员管理系统”，并对变动人员实施常态化更新。各成员单位进一步健全社会动员与协调联动机制，推动各类资源整合与各方力量联动；主动加强与上级及各成员单位的沟通协调，密切工作联系，形成工作合力，有效防范和应对自然灾害突发事件。</w:t>
      </w:r>
    </w:p>
    <w:p w14:paraId="2A3E0264">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应急预案标准体系不断健全。立足“人民至上、生命至上”理念，切实提升全社会自然灾害防御能力与水平。“十四五”期间，我县</w:t>
      </w:r>
      <w:r>
        <w:rPr>
          <w:rFonts w:hint="eastAsia" w:ascii="Times New Roman" w:hAnsi="Times New Roman" w:eastAsia="仿宋_GB2312" w:cs="Times New Roman"/>
          <w:snapToGrid w:val="0"/>
          <w:color w:val="auto"/>
          <w:spacing w:val="13"/>
          <w:kern w:val="0"/>
          <w:sz w:val="32"/>
          <w:szCs w:val="32"/>
          <w:lang w:val="en-US" w:eastAsia="zh-CN"/>
        </w:rPr>
        <w:t>21</w:t>
      </w:r>
      <w:r>
        <w:rPr>
          <w:rFonts w:hint="eastAsia" w:ascii="仿宋_GB2312" w:hAnsi="仿宋_GB2312" w:eastAsia="仿宋_GB2312" w:cs="仿宋_GB2312"/>
          <w:snapToGrid w:val="0"/>
          <w:color w:val="auto"/>
          <w:spacing w:val="13"/>
          <w:kern w:val="0"/>
          <w:sz w:val="32"/>
          <w:szCs w:val="32"/>
          <w:lang w:val="en-US" w:eastAsia="zh-CN"/>
        </w:rPr>
        <w:t>个成员单位、</w:t>
      </w:r>
      <w:r>
        <w:rPr>
          <w:rFonts w:hint="eastAsia" w:ascii="Times New Roman" w:hAnsi="Times New Roman" w:eastAsia="仿宋_GB2312" w:cs="Times New Roman"/>
          <w:snapToGrid w:val="0"/>
          <w:color w:val="auto"/>
          <w:spacing w:val="13"/>
          <w:kern w:val="0"/>
          <w:sz w:val="32"/>
          <w:szCs w:val="32"/>
          <w:lang w:val="en-US" w:eastAsia="zh-CN"/>
        </w:rPr>
        <w:t>21</w:t>
      </w:r>
      <w:r>
        <w:rPr>
          <w:rFonts w:hint="eastAsia" w:ascii="仿宋_GB2312" w:hAnsi="仿宋_GB2312" w:eastAsia="仿宋_GB2312" w:cs="仿宋_GB2312"/>
          <w:snapToGrid w:val="0"/>
          <w:color w:val="auto"/>
          <w:spacing w:val="13"/>
          <w:kern w:val="0"/>
          <w:sz w:val="32"/>
          <w:szCs w:val="32"/>
          <w:lang w:val="en-US" w:eastAsia="zh-CN"/>
        </w:rPr>
        <w:t>个乡镇</w:t>
      </w:r>
      <w:r>
        <w:rPr>
          <w:rFonts w:hint="eastAsia" w:ascii="仿宋_GB2312" w:hAnsi="仿宋_GB2312" w:eastAsia="仿宋_GB2312" w:cs="仿宋_GB2312"/>
          <w:b w:val="0"/>
          <w:bCs w:val="0"/>
          <w:snapToGrid w:val="0"/>
          <w:color w:val="auto"/>
          <w:spacing w:val="13"/>
          <w:kern w:val="0"/>
          <w:sz w:val="32"/>
          <w:szCs w:val="32"/>
          <w:lang w:val="en-US" w:eastAsia="zh-CN"/>
        </w:rPr>
        <w:t>（街办、园区）</w:t>
      </w:r>
      <w:r>
        <w:rPr>
          <w:rFonts w:hint="eastAsia" w:ascii="仿宋_GB2312" w:hAnsi="仿宋_GB2312" w:eastAsia="仿宋_GB2312" w:cs="仿宋_GB2312"/>
          <w:snapToGrid w:val="0"/>
          <w:color w:val="auto"/>
          <w:spacing w:val="13"/>
          <w:kern w:val="0"/>
          <w:sz w:val="32"/>
          <w:szCs w:val="32"/>
          <w:lang w:val="en-US" w:eastAsia="zh-CN"/>
        </w:rPr>
        <w:t>、</w:t>
      </w:r>
      <w:r>
        <w:rPr>
          <w:rFonts w:hint="eastAsia" w:ascii="Times New Roman" w:hAnsi="Times New Roman" w:eastAsia="仿宋_GB2312" w:cs="Times New Roman"/>
          <w:snapToGrid w:val="0"/>
          <w:color w:val="auto"/>
          <w:spacing w:val="13"/>
          <w:kern w:val="0"/>
          <w:sz w:val="32"/>
          <w:szCs w:val="32"/>
          <w:lang w:val="en-US" w:eastAsia="zh-CN"/>
        </w:rPr>
        <w:t>426</w:t>
      </w:r>
      <w:r>
        <w:rPr>
          <w:rFonts w:hint="eastAsia" w:ascii="仿宋_GB2312" w:hAnsi="仿宋_GB2312" w:eastAsia="仿宋_GB2312" w:cs="仿宋_GB2312"/>
          <w:snapToGrid w:val="0"/>
          <w:color w:val="auto"/>
          <w:spacing w:val="13"/>
          <w:kern w:val="0"/>
          <w:sz w:val="32"/>
          <w:szCs w:val="32"/>
          <w:lang w:val="en-US" w:eastAsia="zh-CN"/>
        </w:rPr>
        <w:t>个行政村（社区）结合实际，已初步完成应急预案修订工作。</w:t>
      </w:r>
    </w:p>
    <w:p w14:paraId="6587C9C6">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救灾救助能力大幅提升。强化全灾种全过程综合管理与应急力量资源优化配置，灾害信息报送更加及时，综合监测预警、重大风险研判、物资调配、抢险救援等多部门、跨区域协同联动更加高效。基本建成县、乡、村三级救灾物资储备体系，已建设县级救灾物资储备库（点）</w:t>
      </w:r>
      <w:r>
        <w:rPr>
          <w:rFonts w:hint="eastAsia" w:ascii="Times New Roman" w:hAnsi="Times New Roman" w:eastAsia="仿宋_GB2312" w:cs="Times New Roman"/>
          <w:snapToGrid w:val="0"/>
          <w:color w:val="auto"/>
          <w:spacing w:val="13"/>
          <w:kern w:val="0"/>
          <w:sz w:val="32"/>
          <w:szCs w:val="32"/>
          <w:lang w:val="en-US" w:eastAsia="zh-CN"/>
        </w:rPr>
        <w:t>1</w:t>
      </w:r>
      <w:r>
        <w:rPr>
          <w:rFonts w:hint="eastAsia" w:ascii="仿宋_GB2312" w:hAnsi="仿宋_GB2312" w:eastAsia="仿宋_GB2312" w:cs="仿宋_GB2312"/>
          <w:snapToGrid w:val="0"/>
          <w:color w:val="auto"/>
          <w:spacing w:val="13"/>
          <w:kern w:val="0"/>
          <w:sz w:val="32"/>
          <w:szCs w:val="32"/>
          <w:lang w:val="en-US" w:eastAsia="zh-CN"/>
        </w:rPr>
        <w:t>个、乡级</w:t>
      </w:r>
      <w:r>
        <w:rPr>
          <w:rFonts w:hint="eastAsia" w:ascii="Times New Roman" w:hAnsi="Times New Roman" w:eastAsia="仿宋_GB2312" w:cs="Times New Roman"/>
          <w:snapToGrid w:val="0"/>
          <w:color w:val="auto"/>
          <w:spacing w:val="13"/>
          <w:kern w:val="0"/>
          <w:sz w:val="32"/>
          <w:szCs w:val="32"/>
          <w:lang w:val="en-US" w:eastAsia="zh-CN"/>
        </w:rPr>
        <w:t>5</w:t>
      </w:r>
      <w:r>
        <w:rPr>
          <w:rFonts w:hint="eastAsia" w:ascii="仿宋_GB2312" w:hAnsi="仿宋_GB2312" w:eastAsia="仿宋_GB2312" w:cs="仿宋_GB2312"/>
          <w:snapToGrid w:val="0"/>
          <w:color w:val="auto"/>
          <w:spacing w:val="13"/>
          <w:kern w:val="0"/>
          <w:sz w:val="32"/>
          <w:szCs w:val="32"/>
          <w:lang w:val="en-US" w:eastAsia="zh-CN"/>
        </w:rPr>
        <w:t>个、村级</w:t>
      </w:r>
      <w:r>
        <w:rPr>
          <w:rFonts w:hint="eastAsia" w:ascii="Times New Roman" w:hAnsi="Times New Roman" w:eastAsia="仿宋_GB2312" w:cs="Times New Roman"/>
          <w:snapToGrid w:val="0"/>
          <w:color w:val="auto"/>
          <w:spacing w:val="13"/>
          <w:kern w:val="0"/>
          <w:sz w:val="32"/>
          <w:szCs w:val="32"/>
          <w:lang w:val="en-US" w:eastAsia="zh-CN"/>
        </w:rPr>
        <w:t>12</w:t>
      </w:r>
      <w:r>
        <w:rPr>
          <w:rFonts w:hint="eastAsia" w:ascii="仿宋_GB2312" w:hAnsi="仿宋_GB2312" w:eastAsia="仿宋_GB2312" w:cs="仿宋_GB2312"/>
          <w:snapToGrid w:val="0"/>
          <w:color w:val="auto"/>
          <w:spacing w:val="13"/>
          <w:kern w:val="0"/>
          <w:sz w:val="32"/>
          <w:szCs w:val="32"/>
          <w:lang w:val="en-US" w:eastAsia="zh-CN"/>
        </w:rPr>
        <w:t>个，总面积为</w:t>
      </w:r>
      <w:r>
        <w:rPr>
          <w:rFonts w:hint="eastAsia" w:ascii="Times New Roman" w:hAnsi="Times New Roman" w:eastAsia="仿宋_GB2312" w:cs="Times New Roman"/>
          <w:snapToGrid w:val="0"/>
          <w:color w:val="auto"/>
          <w:spacing w:val="13"/>
          <w:kern w:val="0"/>
          <w:sz w:val="32"/>
          <w:szCs w:val="32"/>
          <w:lang w:val="en-US" w:eastAsia="zh-CN"/>
        </w:rPr>
        <w:t>2050</w:t>
      </w:r>
      <w:r>
        <w:rPr>
          <w:rFonts w:hint="eastAsia" w:ascii="仿宋_GB2312" w:hAnsi="仿宋_GB2312" w:eastAsia="仿宋_GB2312" w:cs="仿宋_GB2312"/>
          <w:snapToGrid w:val="0"/>
          <w:color w:val="auto"/>
          <w:spacing w:val="13"/>
          <w:kern w:val="0"/>
          <w:sz w:val="32"/>
          <w:szCs w:val="32"/>
          <w:lang w:val="en-US" w:eastAsia="zh-CN"/>
        </w:rPr>
        <w:t>平方米，财政自然灾害生活补助标准持续提高，灾害发生</w:t>
      </w:r>
      <w:r>
        <w:rPr>
          <w:rFonts w:hint="eastAsia" w:ascii="Times New Roman" w:hAnsi="Times New Roman" w:eastAsia="仿宋_GB2312" w:cs="Times New Roman"/>
          <w:snapToGrid w:val="0"/>
          <w:color w:val="auto"/>
          <w:spacing w:val="13"/>
          <w:kern w:val="0"/>
          <w:sz w:val="32"/>
          <w:szCs w:val="32"/>
          <w:lang w:val="en-US" w:eastAsia="zh-CN"/>
        </w:rPr>
        <w:t>12</w:t>
      </w:r>
      <w:r>
        <w:rPr>
          <w:rFonts w:hint="eastAsia" w:ascii="仿宋_GB2312" w:hAnsi="仿宋_GB2312" w:eastAsia="仿宋_GB2312" w:cs="仿宋_GB2312"/>
          <w:snapToGrid w:val="0"/>
          <w:color w:val="auto"/>
          <w:spacing w:val="13"/>
          <w:kern w:val="0"/>
          <w:sz w:val="32"/>
          <w:szCs w:val="32"/>
          <w:lang w:val="en-US" w:eastAsia="zh-CN"/>
        </w:rPr>
        <w:t>小时内受灾人员基本生活得到有效保障。“十四五”期间，利用公园、广场、体育场、学校等开阔区域设立县级应急避难场所</w:t>
      </w:r>
      <w:r>
        <w:rPr>
          <w:rFonts w:hint="eastAsia" w:ascii="Times New Roman" w:hAnsi="Times New Roman" w:eastAsia="仿宋_GB2312" w:cs="Times New Roman"/>
          <w:snapToGrid w:val="0"/>
          <w:color w:val="auto"/>
          <w:spacing w:val="13"/>
          <w:kern w:val="0"/>
          <w:sz w:val="32"/>
          <w:szCs w:val="32"/>
          <w:lang w:val="en-US" w:eastAsia="zh-CN"/>
        </w:rPr>
        <w:t>10</w:t>
      </w:r>
      <w:r>
        <w:rPr>
          <w:rFonts w:hint="eastAsia" w:ascii="仿宋_GB2312" w:hAnsi="仿宋_GB2312" w:eastAsia="仿宋_GB2312" w:cs="仿宋_GB2312"/>
          <w:snapToGrid w:val="0"/>
          <w:color w:val="auto"/>
          <w:spacing w:val="13"/>
          <w:kern w:val="0"/>
          <w:sz w:val="32"/>
          <w:szCs w:val="32"/>
          <w:lang w:val="en-US" w:eastAsia="zh-CN"/>
        </w:rPr>
        <w:t>处，总面积</w:t>
      </w:r>
      <w:r>
        <w:rPr>
          <w:rFonts w:hint="eastAsia" w:ascii="Times New Roman" w:hAnsi="Times New Roman" w:eastAsia="仿宋_GB2312" w:cs="Times New Roman"/>
          <w:snapToGrid w:val="0"/>
          <w:color w:val="auto"/>
          <w:spacing w:val="13"/>
          <w:kern w:val="0"/>
          <w:sz w:val="32"/>
          <w:szCs w:val="32"/>
          <w:lang w:val="en-US" w:eastAsia="zh-CN"/>
        </w:rPr>
        <w:t>30</w:t>
      </w:r>
      <w:r>
        <w:rPr>
          <w:rFonts w:hint="eastAsia" w:ascii="仿宋_GB2312" w:hAnsi="仿宋_GB2312" w:eastAsia="仿宋_GB2312" w:cs="仿宋_GB2312"/>
          <w:snapToGrid w:val="0"/>
          <w:color w:val="auto"/>
          <w:spacing w:val="13"/>
          <w:kern w:val="0"/>
          <w:sz w:val="32"/>
          <w:szCs w:val="32"/>
          <w:lang w:val="en-US" w:eastAsia="zh-CN"/>
        </w:rPr>
        <w:t>万平方米；乡镇</w:t>
      </w:r>
      <w:r>
        <w:rPr>
          <w:rFonts w:hint="eastAsia" w:ascii="仿宋_GB2312" w:hAnsi="仿宋_GB2312" w:eastAsia="仿宋_GB2312" w:cs="仿宋_GB2312"/>
          <w:b w:val="0"/>
          <w:bCs w:val="0"/>
          <w:snapToGrid w:val="0"/>
          <w:color w:val="auto"/>
          <w:spacing w:val="13"/>
          <w:kern w:val="0"/>
          <w:sz w:val="32"/>
          <w:szCs w:val="32"/>
          <w:lang w:val="en-US" w:eastAsia="zh-CN"/>
        </w:rPr>
        <w:t>（街办、园区）</w:t>
      </w:r>
      <w:r>
        <w:rPr>
          <w:rFonts w:hint="eastAsia" w:ascii="仿宋_GB2312" w:hAnsi="仿宋_GB2312" w:eastAsia="仿宋_GB2312" w:cs="仿宋_GB2312"/>
          <w:snapToGrid w:val="0"/>
          <w:color w:val="auto"/>
          <w:spacing w:val="13"/>
          <w:kern w:val="0"/>
          <w:sz w:val="32"/>
          <w:szCs w:val="32"/>
          <w:lang w:val="en-US" w:eastAsia="zh-CN"/>
        </w:rPr>
        <w:t>、行政村（社区）建设应急避难场所</w:t>
      </w:r>
      <w:r>
        <w:rPr>
          <w:rFonts w:hint="eastAsia" w:ascii="Times New Roman" w:hAnsi="Times New Roman" w:eastAsia="仿宋_GB2312" w:cs="Times New Roman"/>
          <w:snapToGrid w:val="0"/>
          <w:color w:val="auto"/>
          <w:spacing w:val="13"/>
          <w:kern w:val="0"/>
          <w:sz w:val="32"/>
          <w:szCs w:val="32"/>
          <w:lang w:val="en-US" w:eastAsia="zh-CN"/>
        </w:rPr>
        <w:t>1010</w:t>
      </w:r>
      <w:r>
        <w:rPr>
          <w:rFonts w:hint="eastAsia" w:ascii="仿宋_GB2312" w:hAnsi="仿宋_GB2312" w:eastAsia="仿宋_GB2312" w:cs="仿宋_GB2312"/>
          <w:snapToGrid w:val="0"/>
          <w:color w:val="auto"/>
          <w:spacing w:val="13"/>
          <w:kern w:val="0"/>
          <w:sz w:val="32"/>
          <w:szCs w:val="32"/>
          <w:lang w:val="en-US" w:eastAsia="zh-CN"/>
        </w:rPr>
        <w:t>余处，并设置完善应急避难指示标志。</w:t>
      </w:r>
    </w:p>
    <w:p w14:paraId="0DB75BDB">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napToGrid w:val="0"/>
          <w:color w:val="auto"/>
          <w:spacing w:val="13"/>
          <w:kern w:val="0"/>
          <w:sz w:val="32"/>
          <w:szCs w:val="32"/>
          <w:lang w:val="en-US" w:eastAsia="zh-CN"/>
        </w:rPr>
        <w:t>　　科普宣传教育成效明显。综合防灾减灾宣传教育持续深入，公众防灾减灾意识不断提升。县、乡镇、安委会成员单位等通过开展“安全生产月”“</w:t>
      </w:r>
      <w:r>
        <w:rPr>
          <w:rFonts w:hint="default" w:ascii="Times New Roman" w:hAnsi="Times New Roman" w:eastAsia="仿宋_GB2312" w:cs="Times New Roman"/>
          <w:snapToGrid w:val="0"/>
          <w:color w:val="auto"/>
          <w:spacing w:val="13"/>
          <w:kern w:val="0"/>
          <w:sz w:val="32"/>
          <w:szCs w:val="32"/>
          <w:lang w:val="en-US" w:eastAsia="zh-CN"/>
        </w:rPr>
        <w:t>11</w:t>
      </w:r>
      <w:r>
        <w:rPr>
          <w:rFonts w:hint="default" w:ascii="Times New Roman" w:hAnsi="Times New Roman" w:eastAsia="仿宋_GB2312" w:cs="Times New Roman"/>
          <w:b/>
          <w:bCs/>
          <w:snapToGrid w:val="0"/>
          <w:color w:val="auto"/>
          <w:spacing w:val="13"/>
          <w:kern w:val="0"/>
          <w:sz w:val="32"/>
          <w:szCs w:val="32"/>
          <w:lang w:val="en-US" w:eastAsia="zh-CN"/>
        </w:rPr>
        <w:t>·</w:t>
      </w:r>
      <w:r>
        <w:rPr>
          <w:rFonts w:hint="default" w:ascii="Times New Roman" w:hAnsi="Times New Roman" w:eastAsia="仿宋_GB2312" w:cs="Times New Roman"/>
          <w:snapToGrid w:val="0"/>
          <w:color w:val="auto"/>
          <w:spacing w:val="13"/>
          <w:kern w:val="0"/>
          <w:sz w:val="32"/>
          <w:szCs w:val="32"/>
          <w:lang w:val="en-US" w:eastAsia="zh-CN"/>
        </w:rPr>
        <w:t>9</w:t>
      </w:r>
      <w:r>
        <w:rPr>
          <w:rFonts w:hint="eastAsia" w:ascii="仿宋_GB2312" w:hAnsi="仿宋_GB2312" w:eastAsia="仿宋_GB2312" w:cs="仿宋_GB2312"/>
          <w:snapToGrid w:val="0"/>
          <w:color w:val="auto"/>
          <w:spacing w:val="13"/>
          <w:kern w:val="0"/>
          <w:sz w:val="32"/>
          <w:szCs w:val="32"/>
          <w:lang w:val="en-US" w:eastAsia="zh-CN"/>
        </w:rPr>
        <w:t>消防宣传月”“防灾减灾日”等活动，进一步增强公众防灾减灾意识、临灾避险及自救互救能力，逐步提升突发事件应对水平。</w:t>
      </w:r>
    </w:p>
    <w:p w14:paraId="7C8ADBA7">
      <w:pPr>
        <w:keepNext w:val="0"/>
        <w:keepLines w:val="0"/>
        <w:pageBreakBefore w:val="0"/>
        <w:widowControl/>
        <w:kinsoku w:val="0"/>
        <w:wordWrap/>
        <w:overflowPunct/>
        <w:topLinePunct w:val="0"/>
        <w:autoSpaceDE w:val="0"/>
        <w:autoSpaceDN w:val="0"/>
        <w:bidi w:val="0"/>
        <w:adjustRightInd w:val="0"/>
        <w:snapToGrid w:val="0"/>
        <w:spacing w:before="114" w:afterLines="0" w:afterAutospacing="0" w:line="560" w:lineRule="exact"/>
        <w:ind w:left="0" w:leftChars="0" w:right="0" w:firstLine="431" w:firstLineChars="100"/>
        <w:jc w:val="both"/>
        <w:textAlignment w:val="baseline"/>
        <w:rPr>
          <w:rFonts w:hint="eastAsia" w:ascii="仿宋" w:hAnsi="仿宋" w:eastAsia="仿宋" w:cs="仿宋"/>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0"/>
          <w:szCs w:val="30"/>
          <w:lang w:eastAsia="zh-CN"/>
        </w:rPr>
        <w:t>《</w:t>
      </w:r>
      <w:r>
        <w:rPr>
          <w:rFonts w:hint="eastAsia" w:ascii="仿宋_GB2312" w:hAnsi="仿宋_GB2312" w:eastAsia="仿宋_GB2312" w:cs="仿宋_GB2312"/>
          <w:snapToGrid w:val="0"/>
          <w:color w:val="auto"/>
          <w:spacing w:val="13"/>
          <w:kern w:val="0"/>
          <w:sz w:val="30"/>
          <w:szCs w:val="30"/>
          <w:lang w:val="en-US" w:eastAsia="zh-CN"/>
        </w:rPr>
        <w:t>墨玉县</w:t>
      </w:r>
      <w:r>
        <w:rPr>
          <w:rFonts w:hint="eastAsia" w:ascii="仿宋_GB2312" w:hAnsi="仿宋_GB2312" w:eastAsia="仿宋_GB2312" w:cs="仿宋_GB2312"/>
          <w:snapToGrid w:val="0"/>
          <w:color w:val="auto"/>
          <w:spacing w:val="13"/>
          <w:kern w:val="0"/>
          <w:sz w:val="30"/>
          <w:szCs w:val="30"/>
          <w:lang w:eastAsia="zh-CN"/>
        </w:rPr>
        <w:t>防灾减灾“十四五”规划》指标进展情况评估</w:t>
      </w:r>
      <w:r>
        <w:rPr>
          <w:rFonts w:hint="eastAsia" w:ascii="仿宋_GB2312" w:hAnsi="仿宋_GB2312" w:eastAsia="仿宋_GB2312" w:cs="仿宋_GB2312"/>
          <w:snapToGrid w:val="0"/>
          <w:color w:val="auto"/>
          <w:spacing w:val="13"/>
          <w:kern w:val="0"/>
          <w:sz w:val="30"/>
          <w:szCs w:val="30"/>
          <w:lang w:val="en-US" w:eastAsia="zh-CN"/>
        </w:rPr>
        <w:t>表</w:t>
      </w:r>
    </w:p>
    <w:tbl>
      <w:tblPr>
        <w:tblStyle w:val="49"/>
        <w:tblW w:w="92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86"/>
        <w:gridCol w:w="478"/>
        <w:gridCol w:w="5698"/>
        <w:gridCol w:w="2554"/>
      </w:tblGrid>
      <w:tr w14:paraId="1A4A9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blHeader/>
        </w:trPr>
        <w:tc>
          <w:tcPr>
            <w:tcW w:w="486" w:type="dxa"/>
            <w:tcBorders>
              <w:top w:val="single" w:color="000000" w:sz="10" w:space="0"/>
              <w:left w:val="single" w:color="000000" w:sz="10" w:space="0"/>
              <w:bottom w:val="single" w:color="auto" w:sz="4" w:space="0"/>
            </w:tcBorders>
            <w:vAlign w:val="center"/>
          </w:tcPr>
          <w:p w14:paraId="5561E864">
            <w:pPr>
              <w:adjustRightInd/>
              <w:snapToGrid w:val="0"/>
              <w:spacing w:before="65" w:after="20" w:afterLines="20" w:line="240" w:lineRule="auto"/>
              <w:ind w:left="0" w:leftChars="0" w:right="0" w:rightChars="0" w:firstLine="0" w:firstLineChars="0"/>
              <w:jc w:val="center"/>
              <w:rPr>
                <w:rFonts w:hint="eastAsia" w:ascii="方正仿宋_GB2312" w:hAnsi="方正仿宋_GB2312" w:eastAsia="方正仿宋_GB2312" w:cs="方正仿宋_GB2312"/>
                <w:b/>
                <w:bCs/>
                <w:color w:val="auto"/>
                <w:spacing w:val="0"/>
                <w:sz w:val="28"/>
                <w:szCs w:val="28"/>
              </w:rPr>
            </w:pPr>
            <w:r>
              <w:rPr>
                <w:rFonts w:hint="eastAsia" w:ascii="方正仿宋_GB2312" w:hAnsi="方正仿宋_GB2312" w:eastAsia="方正仿宋_GB2312" w:cs="方正仿宋_GB2312"/>
                <w:b/>
                <w:bCs/>
                <w:color w:val="auto"/>
                <w:spacing w:val="-1"/>
                <w:sz w:val="28"/>
                <w:szCs w:val="28"/>
              </w:rPr>
              <w:t>分类</w:t>
            </w:r>
          </w:p>
        </w:tc>
        <w:tc>
          <w:tcPr>
            <w:tcW w:w="478" w:type="dxa"/>
            <w:tcBorders>
              <w:top w:val="single" w:color="000000" w:sz="10" w:space="0"/>
              <w:bottom w:val="single" w:color="auto" w:sz="4" w:space="0"/>
            </w:tcBorders>
            <w:vAlign w:val="center"/>
          </w:tcPr>
          <w:p w14:paraId="0F8E3409">
            <w:pPr>
              <w:adjustRightInd/>
              <w:snapToGrid w:val="0"/>
              <w:spacing w:before="65" w:after="20" w:afterLines="20" w:line="240" w:lineRule="auto"/>
              <w:ind w:left="0" w:leftChars="0" w:right="0" w:rightChars="0" w:firstLine="0" w:firstLineChars="0"/>
              <w:jc w:val="center"/>
              <w:rPr>
                <w:rFonts w:hint="eastAsia" w:ascii="方正仿宋_GB2312" w:hAnsi="方正仿宋_GB2312" w:eastAsia="方正仿宋_GB2312" w:cs="方正仿宋_GB2312"/>
                <w:b/>
                <w:bCs/>
                <w:color w:val="auto"/>
                <w:spacing w:val="0"/>
                <w:sz w:val="28"/>
                <w:szCs w:val="28"/>
              </w:rPr>
            </w:pPr>
            <w:r>
              <w:rPr>
                <w:rFonts w:hint="eastAsia" w:ascii="方正仿宋_GB2312" w:hAnsi="方正仿宋_GB2312" w:eastAsia="方正仿宋_GB2312" w:cs="方正仿宋_GB2312"/>
                <w:b/>
                <w:bCs/>
                <w:color w:val="auto"/>
                <w:spacing w:val="-1"/>
                <w:sz w:val="28"/>
                <w:szCs w:val="28"/>
              </w:rPr>
              <w:t>序号</w:t>
            </w:r>
          </w:p>
        </w:tc>
        <w:tc>
          <w:tcPr>
            <w:tcW w:w="5698" w:type="dxa"/>
            <w:tcBorders>
              <w:top w:val="single" w:color="000000" w:sz="10" w:space="0"/>
              <w:bottom w:val="single" w:color="auto" w:sz="4" w:space="0"/>
            </w:tcBorders>
            <w:vAlign w:val="center"/>
          </w:tcPr>
          <w:p w14:paraId="5F09BDE1">
            <w:pPr>
              <w:adjustRightInd/>
              <w:snapToGrid w:val="0"/>
              <w:spacing w:before="65" w:after="20" w:afterLines="20" w:line="240" w:lineRule="auto"/>
              <w:ind w:left="0" w:leftChars="0" w:right="0" w:rightChars="0" w:firstLine="0" w:firstLineChars="0"/>
              <w:jc w:val="center"/>
              <w:rPr>
                <w:rFonts w:hint="eastAsia" w:ascii="方正仿宋_GB2312" w:hAnsi="方正仿宋_GB2312" w:eastAsia="方正仿宋_GB2312" w:cs="方正仿宋_GB2312"/>
                <w:b/>
                <w:bCs/>
                <w:color w:val="auto"/>
                <w:spacing w:val="0"/>
                <w:sz w:val="28"/>
                <w:szCs w:val="28"/>
              </w:rPr>
            </w:pPr>
            <w:r>
              <w:rPr>
                <w:rFonts w:hint="eastAsia" w:ascii="方正仿宋_GB2312" w:hAnsi="方正仿宋_GB2312" w:eastAsia="方正仿宋_GB2312" w:cs="方正仿宋_GB2312"/>
                <w:b/>
                <w:bCs/>
                <w:color w:val="auto"/>
                <w:spacing w:val="5"/>
                <w:sz w:val="28"/>
                <w:szCs w:val="28"/>
              </w:rPr>
              <w:t>指标名称</w:t>
            </w:r>
          </w:p>
        </w:tc>
        <w:tc>
          <w:tcPr>
            <w:tcW w:w="2554" w:type="dxa"/>
            <w:tcBorders>
              <w:top w:val="single" w:color="000000" w:sz="10" w:space="0"/>
              <w:bottom w:val="single" w:color="auto" w:sz="4" w:space="0"/>
              <w:right w:val="single" w:color="000000" w:sz="10" w:space="0"/>
            </w:tcBorders>
            <w:vAlign w:val="center"/>
          </w:tcPr>
          <w:p w14:paraId="66B06B9A">
            <w:pPr>
              <w:keepNext w:val="0"/>
              <w:keepLines w:val="0"/>
              <w:pageBreakBefore w:val="0"/>
              <w:widowControl w:val="0"/>
              <w:kinsoku/>
              <w:wordWrap/>
              <w:overflowPunct/>
              <w:topLinePunct w:val="0"/>
              <w:autoSpaceDE/>
              <w:autoSpaceDN/>
              <w:bidi w:val="0"/>
              <w:adjustRightInd w:val="0"/>
              <w:snapToGrid w:val="0"/>
              <w:spacing w:after="100" w:afterLines="-2147483648" w:afterAutospacing="1" w:line="240" w:lineRule="auto"/>
              <w:ind w:left="0" w:leftChars="0" w:right="0" w:rightChars="0" w:firstLine="0" w:firstLineChars="0"/>
              <w:jc w:val="center"/>
              <w:textAlignment w:val="auto"/>
              <w:rPr>
                <w:rFonts w:hint="eastAsia" w:ascii="方正仿宋_GB2312" w:hAnsi="方正仿宋_GB2312" w:eastAsia="方正仿宋_GB2312" w:cs="方正仿宋_GB2312"/>
                <w:b/>
                <w:bCs/>
                <w:color w:val="auto"/>
                <w:spacing w:val="0"/>
                <w:sz w:val="28"/>
                <w:szCs w:val="28"/>
                <w:lang w:val="en-US" w:eastAsia="zh-CN"/>
              </w:rPr>
            </w:pPr>
            <w:r>
              <w:rPr>
                <w:rFonts w:hint="eastAsia" w:ascii="方正仿宋_GB2312" w:hAnsi="方正仿宋_GB2312" w:eastAsia="方正仿宋_GB2312" w:cs="方正仿宋_GB2312"/>
                <w:b/>
                <w:bCs/>
                <w:color w:val="auto"/>
                <w:spacing w:val="-6"/>
                <w:kern w:val="2"/>
                <w:sz w:val="28"/>
                <w:szCs w:val="28"/>
                <w:lang w:val="en-US" w:eastAsia="zh-CN" w:bidi="ar-SA"/>
              </w:rPr>
              <w:t>“十四五”期间       实际数值</w:t>
            </w:r>
          </w:p>
        </w:tc>
      </w:tr>
      <w:tr w14:paraId="6635D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86" w:type="dxa"/>
            <w:vMerge w:val="restart"/>
            <w:tcBorders>
              <w:top w:val="single" w:color="auto" w:sz="4" w:space="0"/>
              <w:left w:val="single" w:color="000000" w:sz="10" w:space="0"/>
            </w:tcBorders>
            <w:vAlign w:val="top"/>
          </w:tcPr>
          <w:p w14:paraId="7C7B0BC2">
            <w:pPr>
              <w:adjustRightInd/>
              <w:snapToGrid w:val="0"/>
              <w:spacing w:before="87" w:after="20" w:afterLines="20" w:line="240" w:lineRule="auto"/>
              <w:ind w:right="0" w:rightChars="0" w:firstLine="0" w:firstLineChars="0"/>
              <w:jc w:val="center"/>
              <w:rPr>
                <w:rFonts w:hint="eastAsia" w:ascii="仿宋" w:hAnsi="仿宋" w:eastAsia="仿宋" w:cs="仿宋"/>
                <w:color w:val="auto"/>
                <w:spacing w:val="0"/>
                <w:sz w:val="24"/>
                <w:szCs w:val="20"/>
                <w:lang w:val="en-US" w:eastAsia="zh-CN"/>
              </w:rPr>
            </w:pPr>
            <w:r>
              <w:rPr>
                <w:rFonts w:hint="eastAsia" w:ascii="仿宋" w:hAnsi="仿宋" w:eastAsia="仿宋" w:cs="仿宋"/>
                <w:color w:val="auto"/>
                <w:spacing w:val="0"/>
                <w:sz w:val="24"/>
                <w:szCs w:val="20"/>
                <w:lang w:val="en-US" w:eastAsia="zh-CN"/>
              </w:rPr>
              <w:t>防</w:t>
            </w:r>
          </w:p>
          <w:p w14:paraId="08F9FB78">
            <w:pPr>
              <w:adjustRightInd/>
              <w:snapToGrid w:val="0"/>
              <w:spacing w:before="87" w:after="20" w:afterLines="20" w:line="240" w:lineRule="auto"/>
              <w:ind w:left="0" w:leftChars="0" w:right="0" w:rightChars="0" w:firstLine="0" w:firstLineChars="0"/>
              <w:jc w:val="center"/>
              <w:rPr>
                <w:rFonts w:hint="eastAsia" w:ascii="仿宋" w:hAnsi="仿宋" w:eastAsia="仿宋" w:cs="仿宋"/>
                <w:color w:val="auto"/>
                <w:spacing w:val="0"/>
                <w:sz w:val="24"/>
                <w:szCs w:val="20"/>
                <w:lang w:val="en-US" w:eastAsia="zh-CN"/>
              </w:rPr>
            </w:pPr>
            <w:r>
              <w:rPr>
                <w:rFonts w:hint="eastAsia" w:ascii="仿宋" w:hAnsi="仿宋" w:eastAsia="仿宋" w:cs="仿宋"/>
                <w:color w:val="auto"/>
                <w:spacing w:val="0"/>
                <w:sz w:val="24"/>
                <w:szCs w:val="20"/>
                <w:lang w:val="en-US" w:eastAsia="zh-CN"/>
              </w:rPr>
              <w:t>灾</w:t>
            </w:r>
          </w:p>
          <w:p w14:paraId="1876FFA0">
            <w:pPr>
              <w:adjustRightInd/>
              <w:snapToGrid w:val="0"/>
              <w:spacing w:before="87" w:after="20" w:afterLines="20" w:line="240" w:lineRule="auto"/>
              <w:ind w:left="0" w:leftChars="0" w:right="0" w:rightChars="0" w:firstLine="0" w:firstLineChars="0"/>
              <w:jc w:val="center"/>
              <w:rPr>
                <w:rFonts w:hint="eastAsia" w:ascii="仿宋" w:hAnsi="仿宋" w:eastAsia="仿宋" w:cs="仿宋"/>
                <w:color w:val="auto"/>
                <w:spacing w:val="0"/>
                <w:sz w:val="24"/>
                <w:szCs w:val="20"/>
                <w:lang w:val="en-US" w:eastAsia="zh-CN"/>
              </w:rPr>
            </w:pPr>
            <w:r>
              <w:rPr>
                <w:rFonts w:hint="eastAsia" w:ascii="仿宋" w:hAnsi="仿宋" w:eastAsia="仿宋" w:cs="仿宋"/>
                <w:color w:val="auto"/>
                <w:spacing w:val="0"/>
                <w:sz w:val="24"/>
                <w:szCs w:val="20"/>
                <w:lang w:val="en-US" w:eastAsia="zh-CN"/>
              </w:rPr>
              <w:t>减</w:t>
            </w:r>
          </w:p>
          <w:p w14:paraId="503C6F08">
            <w:pPr>
              <w:adjustRightInd/>
              <w:snapToGrid w:val="0"/>
              <w:spacing w:before="87" w:after="20" w:afterLines="20" w:line="240" w:lineRule="auto"/>
              <w:ind w:left="0" w:leftChars="0" w:right="0" w:rightChars="0" w:firstLine="0" w:firstLineChars="0"/>
              <w:jc w:val="center"/>
              <w:rPr>
                <w:rFonts w:hint="default" w:ascii="仿宋" w:hAnsi="仿宋" w:eastAsia="仿宋" w:cs="仿宋"/>
                <w:color w:val="auto"/>
                <w:spacing w:val="0"/>
                <w:sz w:val="24"/>
                <w:szCs w:val="20"/>
                <w:lang w:val="en-US" w:eastAsia="zh-CN"/>
              </w:rPr>
            </w:pPr>
            <w:r>
              <w:rPr>
                <w:rFonts w:hint="eastAsia" w:ascii="仿宋" w:hAnsi="仿宋" w:eastAsia="仿宋" w:cs="仿宋"/>
                <w:color w:val="auto"/>
                <w:spacing w:val="0"/>
                <w:sz w:val="24"/>
                <w:szCs w:val="20"/>
                <w:lang w:val="en-US" w:eastAsia="zh-CN"/>
              </w:rPr>
              <w:t>灾</w:t>
            </w:r>
          </w:p>
        </w:tc>
        <w:tc>
          <w:tcPr>
            <w:tcW w:w="478" w:type="dxa"/>
            <w:tcBorders>
              <w:top w:val="single" w:color="auto" w:sz="4" w:space="0"/>
            </w:tcBorders>
            <w:vAlign w:val="center"/>
          </w:tcPr>
          <w:p w14:paraId="7DFCE3CB">
            <w:pPr>
              <w:adjustRightInd/>
              <w:snapToGrid w:val="0"/>
              <w:spacing w:before="84" w:after="20" w:afterLines="20" w:line="240" w:lineRule="auto"/>
              <w:ind w:left="0" w:leftChars="0" w:right="0" w:rightChars="0" w:firstLine="0" w:firstLineChars="0"/>
              <w:jc w:val="center"/>
              <w:rPr>
                <w:rFonts w:hint="default" w:ascii="Times New Roman" w:hAnsi="Times New Roman" w:eastAsia="仿宋" w:cs="Times New Roman"/>
                <w:color w:val="auto"/>
                <w:spacing w:val="-3"/>
                <w:sz w:val="24"/>
                <w:szCs w:val="24"/>
              </w:rPr>
            </w:pPr>
            <w:r>
              <w:rPr>
                <w:rFonts w:hint="default" w:ascii="Times New Roman" w:hAnsi="Times New Roman" w:eastAsia="仿宋" w:cs="Times New Roman"/>
                <w:color w:val="auto"/>
                <w:spacing w:val="-3"/>
                <w:sz w:val="24"/>
                <w:szCs w:val="24"/>
              </w:rPr>
              <w:t>1</w:t>
            </w:r>
          </w:p>
        </w:tc>
        <w:tc>
          <w:tcPr>
            <w:tcW w:w="5698" w:type="dxa"/>
            <w:tcBorders>
              <w:top w:val="single" w:color="auto" w:sz="4" w:space="0"/>
            </w:tcBorders>
            <w:vAlign w:val="center"/>
          </w:tcPr>
          <w:p w14:paraId="3CF6C74E">
            <w:pPr>
              <w:adjustRightInd/>
              <w:snapToGrid w:val="0"/>
              <w:spacing w:before="57" w:after="20" w:afterLines="20" w:line="240" w:lineRule="auto"/>
              <w:ind w:left="0" w:leftChars="0" w:right="0" w:rightChars="0" w:firstLine="0" w:firstLineChars="0"/>
              <w:jc w:val="left"/>
              <w:rPr>
                <w:rFonts w:hint="eastAsia" w:ascii="仿宋" w:hAnsi="仿宋" w:eastAsia="仿宋" w:cs="仿宋"/>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rPr>
              <w:t>年均每</w:t>
            </w:r>
            <w:r>
              <w:rPr>
                <w:rFonts w:hint="eastAsia" w:cs="仿宋"/>
                <w:snapToGrid w:val="0"/>
                <w:color w:val="auto"/>
                <w:spacing w:val="13"/>
                <w:kern w:val="0"/>
                <w:sz w:val="24"/>
                <w:szCs w:val="24"/>
                <w:lang w:val="en-US" w:eastAsia="zh-CN"/>
              </w:rPr>
              <w:t>十</w:t>
            </w:r>
            <w:r>
              <w:rPr>
                <w:rFonts w:hint="eastAsia" w:ascii="仿宋" w:hAnsi="仿宋" w:eastAsia="仿宋" w:cs="仿宋"/>
                <w:snapToGrid w:val="0"/>
                <w:color w:val="auto"/>
                <w:spacing w:val="13"/>
                <w:kern w:val="0"/>
                <w:sz w:val="24"/>
                <w:szCs w:val="24"/>
                <w:lang w:val="en-US" w:eastAsia="zh-CN"/>
              </w:rPr>
              <w:t>万人口因自然灾害死亡率</w:t>
            </w:r>
          </w:p>
        </w:tc>
        <w:tc>
          <w:tcPr>
            <w:tcW w:w="2554" w:type="dxa"/>
            <w:tcBorders>
              <w:top w:val="single" w:color="auto" w:sz="4" w:space="0"/>
              <w:right w:val="single" w:color="000000" w:sz="10" w:space="0"/>
            </w:tcBorders>
            <w:shd w:val="clear" w:color="auto" w:fill="auto"/>
            <w:vAlign w:val="center"/>
          </w:tcPr>
          <w:p w14:paraId="1B64E9DB">
            <w:pPr>
              <w:adjustRightInd/>
              <w:snapToGrid w:val="0"/>
              <w:spacing w:before="57" w:after="20" w:afterLines="20" w:line="240" w:lineRule="auto"/>
              <w:ind w:left="0" w:leftChars="0" w:right="0" w:rightChars="0" w:firstLine="0" w:firstLineChars="0"/>
              <w:jc w:val="center"/>
              <w:rPr>
                <w:rFonts w:hint="eastAsia" w:ascii="仿宋" w:hAnsi="Times New Roman" w:eastAsia="仿宋" w:cs="Times New Roman"/>
                <w:color w:val="auto"/>
                <w:spacing w:val="-6"/>
                <w:kern w:val="2"/>
                <w:sz w:val="24"/>
                <w:szCs w:val="20"/>
                <w:lang w:val="en-US" w:eastAsia="zh-CN" w:bidi="ar-SA"/>
              </w:rPr>
            </w:pPr>
            <w:r>
              <w:rPr>
                <w:rFonts w:hint="default" w:ascii="Times New Roman" w:hAnsi="Times New Roman" w:eastAsia="仿宋" w:cs="Times New Roman"/>
                <w:snapToGrid w:val="0"/>
                <w:color w:val="auto"/>
                <w:spacing w:val="13"/>
                <w:kern w:val="0"/>
                <w:sz w:val="24"/>
                <w:szCs w:val="24"/>
                <w:lang w:val="en-US" w:eastAsia="zh-CN"/>
              </w:rPr>
              <w:t>0</w:t>
            </w:r>
            <w:r>
              <w:rPr>
                <w:rFonts w:hint="eastAsia" w:ascii="Times New Roman" w:hAnsi="Times New Roman" w:cs="Times New Roman"/>
                <w:snapToGrid w:val="0"/>
                <w:color w:val="auto"/>
                <w:spacing w:val="13"/>
                <w:kern w:val="0"/>
                <w:sz w:val="24"/>
                <w:szCs w:val="24"/>
                <w:lang w:val="en-US" w:eastAsia="zh-CN"/>
              </w:rPr>
              <w:t>%</w:t>
            </w:r>
          </w:p>
        </w:tc>
      </w:tr>
      <w:tr w14:paraId="79E24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486" w:type="dxa"/>
            <w:vMerge w:val="continue"/>
            <w:tcBorders>
              <w:left w:val="single" w:color="000000" w:sz="10" w:space="0"/>
            </w:tcBorders>
            <w:vAlign w:val="center"/>
          </w:tcPr>
          <w:p w14:paraId="3D6454FF">
            <w:pPr>
              <w:widowControl w:val="0"/>
              <w:snapToGrid w:val="0"/>
              <w:spacing w:after="20" w:afterLines="20" w:line="240" w:lineRule="auto"/>
              <w:ind w:left="0" w:leftChars="0" w:right="0" w:rightChars="0" w:firstLine="0" w:firstLineChars="0"/>
              <w:jc w:val="center"/>
              <w:rPr>
                <w:rFonts w:ascii="仿宋" w:hAnsi="Arial" w:eastAsia="仿宋" w:cs="Arial"/>
                <w:color w:val="auto"/>
                <w:kern w:val="2"/>
                <w:sz w:val="24"/>
                <w:szCs w:val="21"/>
                <w:lang w:val="en-US" w:eastAsia="en-US" w:bidi="ar-SA"/>
              </w:rPr>
            </w:pPr>
          </w:p>
        </w:tc>
        <w:tc>
          <w:tcPr>
            <w:tcW w:w="478" w:type="dxa"/>
            <w:vAlign w:val="center"/>
          </w:tcPr>
          <w:p w14:paraId="1F1CE7B1">
            <w:pPr>
              <w:adjustRightInd/>
              <w:snapToGrid w:val="0"/>
              <w:spacing w:before="84" w:after="20" w:afterLines="20" w:line="240" w:lineRule="auto"/>
              <w:ind w:left="0" w:leftChars="0" w:right="0" w:rightChars="0" w:firstLine="0" w:firstLineChars="0"/>
              <w:jc w:val="center"/>
              <w:rPr>
                <w:rFonts w:hint="default" w:ascii="Times New Roman" w:hAnsi="Times New Roman" w:eastAsia="仿宋" w:cs="Times New Roman"/>
                <w:color w:val="auto"/>
                <w:spacing w:val="-3"/>
                <w:sz w:val="24"/>
                <w:szCs w:val="24"/>
              </w:rPr>
            </w:pPr>
            <w:r>
              <w:rPr>
                <w:rFonts w:hint="default" w:ascii="Times New Roman" w:hAnsi="Times New Roman" w:eastAsia="仿宋" w:cs="Times New Roman"/>
                <w:color w:val="auto"/>
                <w:spacing w:val="-3"/>
                <w:sz w:val="24"/>
                <w:szCs w:val="24"/>
              </w:rPr>
              <w:t>2</w:t>
            </w:r>
          </w:p>
        </w:tc>
        <w:tc>
          <w:tcPr>
            <w:tcW w:w="5698" w:type="dxa"/>
            <w:vAlign w:val="center"/>
          </w:tcPr>
          <w:p w14:paraId="3936498C">
            <w:pPr>
              <w:adjustRightInd/>
              <w:snapToGrid w:val="0"/>
              <w:spacing w:before="57" w:after="20" w:afterLines="20" w:line="240" w:lineRule="auto"/>
              <w:ind w:left="0" w:leftChars="0" w:right="0" w:rightChars="0" w:firstLine="0" w:firstLineChars="0"/>
              <w:jc w:val="left"/>
              <w:rPr>
                <w:rFonts w:hint="eastAsia" w:ascii="仿宋" w:hAnsi="仿宋" w:eastAsia="仿宋" w:cs="仿宋"/>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rPr>
              <w:t>灾害发生后受灾群众基本生活得到有效救助时间</w:t>
            </w:r>
          </w:p>
        </w:tc>
        <w:tc>
          <w:tcPr>
            <w:tcW w:w="2554" w:type="dxa"/>
            <w:tcBorders>
              <w:right w:val="single" w:color="000000" w:sz="10" w:space="0"/>
            </w:tcBorders>
            <w:shd w:val="clear" w:color="auto" w:fill="auto"/>
            <w:vAlign w:val="center"/>
          </w:tcPr>
          <w:p w14:paraId="633C4978">
            <w:pPr>
              <w:adjustRightInd/>
              <w:snapToGrid w:val="0"/>
              <w:spacing w:before="57" w:after="20" w:afterLines="20" w:line="240" w:lineRule="auto"/>
              <w:ind w:left="0" w:leftChars="0" w:right="0" w:rightChars="0" w:firstLine="0" w:firstLineChars="0"/>
              <w:jc w:val="center"/>
              <w:rPr>
                <w:rFonts w:hint="default" w:ascii="仿宋" w:hAnsi="仿宋" w:eastAsia="仿宋" w:cs="仿宋"/>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rPr>
              <w:t>&lt;</w:t>
            </w:r>
            <w:r>
              <w:rPr>
                <w:rFonts w:hint="eastAsia" w:ascii="Times New Roman" w:hAnsi="Times New Roman" w:eastAsia="仿宋" w:cs="Times New Roman"/>
                <w:snapToGrid w:val="0"/>
                <w:color w:val="auto"/>
                <w:spacing w:val="13"/>
                <w:kern w:val="0"/>
                <w:sz w:val="24"/>
                <w:szCs w:val="24"/>
                <w:lang w:val="en-US" w:eastAsia="zh-CN"/>
              </w:rPr>
              <w:t>1</w:t>
            </w:r>
            <w:r>
              <w:rPr>
                <w:rFonts w:hint="default" w:ascii="Times New Roman" w:hAnsi="Times New Roman" w:eastAsia="仿宋" w:cs="Times New Roman"/>
                <w:snapToGrid w:val="0"/>
                <w:color w:val="auto"/>
                <w:spacing w:val="13"/>
                <w:kern w:val="0"/>
                <w:sz w:val="24"/>
                <w:szCs w:val="24"/>
                <w:lang w:val="en-US" w:eastAsia="zh-CN"/>
              </w:rPr>
              <w:t>2</w:t>
            </w:r>
            <w:r>
              <w:rPr>
                <w:rFonts w:hint="eastAsia" w:ascii="仿宋" w:hAnsi="仿宋" w:eastAsia="仿宋" w:cs="仿宋"/>
                <w:snapToGrid w:val="0"/>
                <w:color w:val="auto"/>
                <w:spacing w:val="13"/>
                <w:kern w:val="0"/>
                <w:sz w:val="24"/>
                <w:szCs w:val="24"/>
                <w:lang w:val="en-US" w:eastAsia="zh-CN"/>
              </w:rPr>
              <w:t>小时</w:t>
            </w:r>
          </w:p>
        </w:tc>
      </w:tr>
      <w:tr w14:paraId="1F57A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486" w:type="dxa"/>
            <w:vMerge w:val="continue"/>
            <w:tcBorders>
              <w:left w:val="single" w:color="000000" w:sz="10" w:space="0"/>
            </w:tcBorders>
            <w:vAlign w:val="center"/>
          </w:tcPr>
          <w:p w14:paraId="2F507BAD">
            <w:pPr>
              <w:widowControl w:val="0"/>
              <w:snapToGrid w:val="0"/>
              <w:spacing w:after="20" w:afterLines="20" w:line="240" w:lineRule="auto"/>
              <w:ind w:left="0" w:leftChars="0" w:right="0" w:rightChars="0" w:firstLine="0" w:firstLineChars="0"/>
              <w:jc w:val="center"/>
              <w:rPr>
                <w:rFonts w:ascii="仿宋" w:hAnsi="Arial" w:eastAsia="仿宋" w:cs="Arial"/>
                <w:color w:val="auto"/>
                <w:kern w:val="2"/>
                <w:sz w:val="24"/>
                <w:szCs w:val="21"/>
                <w:lang w:val="en-US" w:eastAsia="en-US" w:bidi="ar-SA"/>
              </w:rPr>
            </w:pPr>
          </w:p>
        </w:tc>
        <w:tc>
          <w:tcPr>
            <w:tcW w:w="478" w:type="dxa"/>
            <w:vAlign w:val="center"/>
          </w:tcPr>
          <w:p w14:paraId="3332F2E0">
            <w:pPr>
              <w:adjustRightInd/>
              <w:snapToGrid w:val="0"/>
              <w:spacing w:before="84" w:after="20" w:afterLines="20" w:line="240" w:lineRule="auto"/>
              <w:ind w:left="0" w:leftChars="0" w:right="0" w:rightChars="0" w:firstLine="0" w:firstLineChars="0"/>
              <w:jc w:val="center"/>
              <w:rPr>
                <w:rFonts w:hint="default" w:ascii="Times New Roman" w:hAnsi="Times New Roman" w:eastAsia="仿宋" w:cs="Times New Roman"/>
                <w:color w:val="auto"/>
                <w:spacing w:val="-3"/>
                <w:sz w:val="24"/>
                <w:szCs w:val="24"/>
              </w:rPr>
            </w:pPr>
            <w:r>
              <w:rPr>
                <w:rFonts w:hint="default" w:ascii="Times New Roman" w:hAnsi="Times New Roman" w:eastAsia="仿宋" w:cs="Times New Roman"/>
                <w:color w:val="auto"/>
                <w:spacing w:val="-3"/>
                <w:sz w:val="24"/>
                <w:szCs w:val="24"/>
              </w:rPr>
              <w:t>3</w:t>
            </w:r>
          </w:p>
        </w:tc>
        <w:tc>
          <w:tcPr>
            <w:tcW w:w="5698" w:type="dxa"/>
            <w:vAlign w:val="center"/>
          </w:tcPr>
          <w:p w14:paraId="622E96FE">
            <w:pPr>
              <w:adjustRightInd/>
              <w:snapToGrid w:val="0"/>
              <w:spacing w:before="57" w:after="20" w:afterLines="20" w:line="240" w:lineRule="auto"/>
              <w:ind w:left="0" w:leftChars="0" w:right="0" w:rightChars="0" w:firstLine="0" w:firstLineChars="0"/>
              <w:jc w:val="left"/>
              <w:rPr>
                <w:rFonts w:hint="eastAsia" w:ascii="仿宋" w:hAnsi="仿宋" w:eastAsia="仿宋" w:cs="仿宋"/>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rPr>
              <w:t>县</w:t>
            </w:r>
            <w:r>
              <w:rPr>
                <w:rFonts w:hint="eastAsia" w:cs="仿宋"/>
                <w:snapToGrid w:val="0"/>
                <w:color w:val="auto"/>
                <w:spacing w:val="13"/>
                <w:kern w:val="0"/>
                <w:sz w:val="24"/>
                <w:szCs w:val="24"/>
                <w:lang w:val="en-US" w:eastAsia="zh-CN"/>
              </w:rPr>
              <w:t>级</w:t>
            </w:r>
            <w:r>
              <w:rPr>
                <w:rFonts w:hint="eastAsia" w:ascii="仿宋" w:hAnsi="仿宋" w:eastAsia="仿宋" w:cs="仿宋"/>
                <w:snapToGrid w:val="0"/>
                <w:color w:val="auto"/>
                <w:spacing w:val="13"/>
                <w:kern w:val="0"/>
                <w:sz w:val="24"/>
                <w:szCs w:val="24"/>
                <w:lang w:val="en-US" w:eastAsia="zh-CN"/>
              </w:rPr>
              <w:t>规范化应急避难场所数量</w:t>
            </w:r>
          </w:p>
        </w:tc>
        <w:tc>
          <w:tcPr>
            <w:tcW w:w="2554" w:type="dxa"/>
            <w:tcBorders>
              <w:right w:val="single" w:color="000000" w:sz="10" w:space="0"/>
            </w:tcBorders>
            <w:shd w:val="clear" w:color="auto" w:fill="auto"/>
            <w:vAlign w:val="center"/>
          </w:tcPr>
          <w:p w14:paraId="10886B1A">
            <w:pPr>
              <w:adjustRightInd/>
              <w:snapToGrid w:val="0"/>
              <w:spacing w:before="57" w:after="20" w:afterLines="20" w:line="240" w:lineRule="auto"/>
              <w:ind w:left="0" w:leftChars="0" w:right="0" w:rightChars="0" w:firstLine="0" w:firstLineChars="0"/>
              <w:jc w:val="center"/>
              <w:rPr>
                <w:rFonts w:hint="default" w:ascii="仿宋" w:hAnsi="仿宋" w:eastAsia="仿宋" w:cs="仿宋"/>
                <w:snapToGrid w:val="0"/>
                <w:color w:val="auto"/>
                <w:spacing w:val="13"/>
                <w:kern w:val="0"/>
                <w:sz w:val="24"/>
                <w:szCs w:val="24"/>
                <w:lang w:val="en-US" w:eastAsia="zh-CN"/>
              </w:rPr>
            </w:pPr>
            <w:r>
              <w:rPr>
                <w:rFonts w:hint="eastAsia" w:ascii="Times New Roman" w:hAnsi="Times New Roman" w:eastAsia="仿宋" w:cs="Times New Roman"/>
                <w:snapToGrid w:val="0"/>
                <w:color w:val="auto"/>
                <w:spacing w:val="13"/>
                <w:kern w:val="0"/>
                <w:sz w:val="24"/>
                <w:szCs w:val="24"/>
                <w:lang w:val="en-US" w:eastAsia="zh-CN"/>
              </w:rPr>
              <w:t>10</w:t>
            </w:r>
            <w:r>
              <w:rPr>
                <w:rFonts w:hint="eastAsia" w:ascii="Times New Roman" w:hAnsi="Times New Roman" w:cs="Times New Roman"/>
                <w:snapToGrid w:val="0"/>
                <w:color w:val="auto"/>
                <w:spacing w:val="13"/>
                <w:kern w:val="0"/>
                <w:sz w:val="24"/>
                <w:szCs w:val="24"/>
                <w:lang w:val="en-US" w:eastAsia="zh-CN"/>
              </w:rPr>
              <w:t>处</w:t>
            </w:r>
          </w:p>
        </w:tc>
      </w:tr>
      <w:tr w14:paraId="26B11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486" w:type="dxa"/>
            <w:vMerge w:val="continue"/>
            <w:tcBorders>
              <w:left w:val="single" w:color="000000" w:sz="10" w:space="0"/>
            </w:tcBorders>
            <w:vAlign w:val="center"/>
          </w:tcPr>
          <w:p w14:paraId="5362470C">
            <w:pPr>
              <w:widowControl w:val="0"/>
              <w:snapToGrid w:val="0"/>
              <w:spacing w:after="20" w:afterLines="20" w:line="240" w:lineRule="auto"/>
              <w:ind w:left="0" w:leftChars="0" w:right="0" w:rightChars="0" w:firstLine="0" w:firstLineChars="0"/>
              <w:jc w:val="center"/>
              <w:rPr>
                <w:rFonts w:ascii="仿宋" w:hAnsi="Arial" w:eastAsia="仿宋" w:cs="Arial"/>
                <w:color w:val="auto"/>
                <w:kern w:val="2"/>
                <w:sz w:val="24"/>
                <w:szCs w:val="21"/>
                <w:lang w:val="en-US" w:eastAsia="en-US" w:bidi="ar-SA"/>
              </w:rPr>
            </w:pPr>
          </w:p>
        </w:tc>
        <w:tc>
          <w:tcPr>
            <w:tcW w:w="478" w:type="dxa"/>
            <w:vAlign w:val="center"/>
          </w:tcPr>
          <w:p w14:paraId="10AAA6C1">
            <w:pPr>
              <w:adjustRightInd/>
              <w:snapToGrid w:val="0"/>
              <w:spacing w:before="84" w:after="20" w:afterLines="20" w:line="240" w:lineRule="auto"/>
              <w:ind w:left="0" w:leftChars="0" w:right="0" w:rightChars="0" w:firstLine="0" w:firstLineChars="0"/>
              <w:jc w:val="center"/>
              <w:rPr>
                <w:rFonts w:hint="default" w:ascii="Times New Roman" w:hAnsi="Times New Roman" w:eastAsia="仿宋" w:cs="Times New Roman"/>
                <w:color w:val="auto"/>
                <w:spacing w:val="-3"/>
                <w:sz w:val="24"/>
                <w:szCs w:val="24"/>
                <w:lang w:val="en-US" w:eastAsia="zh-CN"/>
              </w:rPr>
            </w:pPr>
            <w:r>
              <w:rPr>
                <w:rFonts w:hint="default" w:ascii="Times New Roman" w:hAnsi="Times New Roman" w:eastAsia="仿宋" w:cs="Times New Roman"/>
                <w:color w:val="auto"/>
                <w:spacing w:val="-3"/>
                <w:sz w:val="24"/>
                <w:szCs w:val="24"/>
                <w:lang w:val="en-US" w:eastAsia="zh-CN"/>
              </w:rPr>
              <w:t>4</w:t>
            </w:r>
          </w:p>
        </w:tc>
        <w:tc>
          <w:tcPr>
            <w:tcW w:w="5698" w:type="dxa"/>
            <w:vAlign w:val="center"/>
          </w:tcPr>
          <w:p w14:paraId="52180EBB">
            <w:pPr>
              <w:adjustRightInd/>
              <w:snapToGrid w:val="0"/>
              <w:spacing w:before="57" w:after="20" w:afterLines="20" w:line="240" w:lineRule="auto"/>
              <w:ind w:left="0" w:leftChars="0" w:right="0" w:rightChars="0" w:firstLine="0" w:firstLineChars="0"/>
              <w:jc w:val="left"/>
              <w:rPr>
                <w:rFonts w:hint="eastAsia" w:ascii="仿宋" w:hAnsi="仿宋" w:eastAsia="仿宋" w:cs="仿宋"/>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rPr>
              <w:t>每个城乡社区灾害信息员数量</w:t>
            </w:r>
          </w:p>
        </w:tc>
        <w:tc>
          <w:tcPr>
            <w:tcW w:w="2554" w:type="dxa"/>
            <w:tcBorders>
              <w:right w:val="single" w:color="000000" w:sz="10" w:space="0"/>
            </w:tcBorders>
            <w:shd w:val="clear" w:color="auto" w:fill="auto"/>
            <w:vAlign w:val="center"/>
          </w:tcPr>
          <w:p w14:paraId="61099395">
            <w:pPr>
              <w:adjustRightInd/>
              <w:snapToGrid w:val="0"/>
              <w:spacing w:before="57" w:after="20" w:afterLines="20" w:line="240" w:lineRule="auto"/>
              <w:ind w:left="0" w:leftChars="0" w:right="0" w:rightChars="0" w:firstLine="0" w:firstLineChars="0"/>
              <w:jc w:val="center"/>
              <w:rPr>
                <w:rFonts w:hint="eastAsia" w:ascii="仿宋" w:hAnsi="仿宋" w:eastAsia="仿宋" w:cs="仿宋"/>
                <w:snapToGrid w:val="0"/>
                <w:color w:val="auto"/>
                <w:spacing w:val="13"/>
                <w:kern w:val="0"/>
                <w:sz w:val="24"/>
                <w:szCs w:val="24"/>
                <w:lang w:val="en-US" w:eastAsia="zh-CN"/>
              </w:rPr>
            </w:pPr>
            <w:r>
              <w:rPr>
                <w:rFonts w:hint="eastAsia" w:ascii="Times New Roman" w:hAnsi="Times New Roman" w:eastAsia="仿宋" w:cs="Times New Roman"/>
                <w:snapToGrid w:val="0"/>
                <w:color w:val="auto"/>
                <w:spacing w:val="13"/>
                <w:kern w:val="0"/>
                <w:sz w:val="24"/>
                <w:szCs w:val="24"/>
                <w:lang w:val="en-US" w:eastAsia="zh-CN"/>
              </w:rPr>
              <w:t>2</w:t>
            </w:r>
            <w:r>
              <w:rPr>
                <w:rFonts w:hint="eastAsia" w:ascii="Times New Roman" w:hAnsi="Times New Roman" w:cs="Times New Roman"/>
                <w:snapToGrid w:val="0"/>
                <w:color w:val="auto"/>
                <w:spacing w:val="13"/>
                <w:kern w:val="0"/>
                <w:sz w:val="24"/>
                <w:szCs w:val="24"/>
                <w:lang w:val="en-US" w:eastAsia="zh-CN"/>
              </w:rPr>
              <w:t>人</w:t>
            </w:r>
          </w:p>
        </w:tc>
      </w:tr>
    </w:tbl>
    <w:p w14:paraId="60079C08">
      <w:pPr>
        <w:keepNext w:val="0"/>
        <w:keepLines w:val="0"/>
        <w:pageBreakBefore w:val="0"/>
        <w:widowControl w:val="0"/>
        <w:numPr>
          <w:ilvl w:val="2"/>
          <w:numId w:val="0"/>
        </w:numPr>
        <w:tabs>
          <w:tab w:val="left" w:pos="0"/>
        </w:tabs>
        <w:wordWrap/>
        <w:overflowPunct/>
        <w:topLinePunct w:val="0"/>
        <w:bidi w:val="0"/>
        <w:adjustRightInd w:val="0"/>
        <w:snapToGrid w:val="0"/>
        <w:spacing w:before="0" w:beforeLines="0" w:after="0" w:afterLines="0" w:afterAutospacing="0" w:line="560" w:lineRule="exact"/>
        <w:ind w:left="0" w:right="0" w:firstLine="0" w:firstLineChars="0"/>
        <w:jc w:val="both"/>
        <w:outlineLvl w:val="2"/>
        <w:rPr>
          <w:rFonts w:hint="eastAsia" w:ascii="楷体" w:hAnsi="楷体" w:eastAsia="楷体" w:cs="楷体"/>
          <w:b/>
          <w:bCs/>
          <w:snapToGrid w:val="0"/>
          <w:color w:val="000000"/>
          <w:spacing w:val="6"/>
          <w:kern w:val="0"/>
          <w:sz w:val="32"/>
          <w:szCs w:val="32"/>
          <w:lang w:val="en-US" w:eastAsia="zh-CN" w:bidi="ar-SA"/>
        </w:rPr>
      </w:pPr>
      <w:r>
        <w:rPr>
          <w:rFonts w:hint="eastAsia" w:ascii="楷体" w:hAnsi="楷体" w:eastAsia="楷体" w:cs="楷体"/>
          <w:b/>
          <w:bCs/>
          <w:snapToGrid w:val="0"/>
          <w:color w:val="000000"/>
          <w:spacing w:val="6"/>
          <w:kern w:val="0"/>
          <w:sz w:val="32"/>
          <w:szCs w:val="32"/>
          <w:lang w:val="en-US" w:eastAsia="zh-CN" w:bidi="ar-SA"/>
        </w:rPr>
        <w:t>　　</w:t>
      </w:r>
    </w:p>
    <w:p w14:paraId="7CE8C349">
      <w:pPr>
        <w:keepNext w:val="0"/>
        <w:keepLines w:val="0"/>
        <w:pageBreakBefore w:val="0"/>
        <w:widowControl w:val="0"/>
        <w:numPr>
          <w:ilvl w:val="2"/>
          <w:numId w:val="0"/>
        </w:numPr>
        <w:tabs>
          <w:tab w:val="left" w:pos="0"/>
        </w:tabs>
        <w:wordWrap/>
        <w:overflowPunct/>
        <w:topLinePunct w:val="0"/>
        <w:bidi w:val="0"/>
        <w:adjustRightInd w:val="0"/>
        <w:snapToGrid w:val="0"/>
        <w:spacing w:before="0" w:beforeLines="0" w:after="0" w:afterLines="0" w:afterAutospacing="0" w:line="560" w:lineRule="exact"/>
        <w:ind w:left="0" w:right="0" w:firstLine="0" w:firstLineChars="0"/>
        <w:jc w:val="both"/>
        <w:outlineLvl w:val="2"/>
        <w:rPr>
          <w:rFonts w:hint="eastAsia" w:ascii="仿宋_GB2312" w:hAnsi="仿宋_GB2312" w:eastAsia="仿宋_GB2312" w:cs="仿宋_GB2312"/>
          <w:b/>
          <w:bCs/>
          <w:snapToGrid w:val="0"/>
          <w:color w:val="000000"/>
          <w:spacing w:val="6"/>
          <w:kern w:val="0"/>
          <w:sz w:val="32"/>
          <w:szCs w:val="32"/>
          <w:lang w:val="en-US" w:eastAsia="zh-CN" w:bidi="ar-SA"/>
        </w:rPr>
      </w:pPr>
      <w:r>
        <w:rPr>
          <w:rFonts w:hint="eastAsia" w:ascii="仿宋_GB2312" w:hAnsi="仿宋_GB2312" w:eastAsia="仿宋_GB2312" w:cs="仿宋_GB2312"/>
          <w:b/>
          <w:bCs/>
          <w:snapToGrid w:val="0"/>
          <w:color w:val="000000"/>
          <w:spacing w:val="6"/>
          <w:kern w:val="0"/>
          <w:sz w:val="32"/>
          <w:szCs w:val="32"/>
          <w:lang w:val="en-US" w:eastAsia="zh-CN" w:bidi="ar-SA"/>
        </w:rPr>
        <w:t>　　二、重点工程项目实施情况</w:t>
      </w:r>
    </w:p>
    <w:p w14:paraId="3C4502E4">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黑体" w:hAnsi="黑体" w:eastAsia="黑体"/>
          <w:spacing w:val="0"/>
          <w:sz w:val="21"/>
          <w:szCs w:val="21"/>
          <w:lang w:eastAsia="zh-CN"/>
        </w:rPr>
      </w:pPr>
      <w:r>
        <w:rPr>
          <w:rFonts w:hint="eastAsia" w:ascii="仿宋_GB2312" w:hAnsi="仿宋_GB2312" w:eastAsia="仿宋_GB2312" w:cs="仿宋_GB2312"/>
          <w:snapToGrid w:val="0"/>
          <w:color w:val="auto"/>
          <w:spacing w:val="13"/>
          <w:kern w:val="0"/>
          <w:sz w:val="32"/>
          <w:szCs w:val="32"/>
          <w:lang w:val="en-US" w:eastAsia="zh-CN"/>
        </w:rPr>
        <w:t>　　墨玉县应急指挥中心建设项目。依靠数字交通公共安全应急服务平台项目，投入</w:t>
      </w:r>
      <w:r>
        <w:rPr>
          <w:rFonts w:hint="default" w:ascii="Times New Roman" w:hAnsi="Times New Roman" w:eastAsia="仿宋_GB2312" w:cs="Times New Roman"/>
          <w:snapToGrid w:val="0"/>
          <w:color w:val="auto"/>
          <w:spacing w:val="13"/>
          <w:kern w:val="0"/>
          <w:sz w:val="32"/>
          <w:szCs w:val="32"/>
          <w:lang w:val="en-US" w:eastAsia="zh-CN"/>
        </w:rPr>
        <w:t>1295</w:t>
      </w:r>
      <w:r>
        <w:rPr>
          <w:rFonts w:hint="eastAsia" w:ascii="仿宋_GB2312" w:hAnsi="仿宋_GB2312" w:eastAsia="仿宋_GB2312" w:cs="仿宋_GB2312"/>
          <w:snapToGrid w:val="0"/>
          <w:color w:val="auto"/>
          <w:spacing w:val="13"/>
          <w:kern w:val="0"/>
          <w:sz w:val="32"/>
          <w:szCs w:val="32"/>
          <w:lang w:val="en-US" w:eastAsia="zh-CN"/>
        </w:rPr>
        <w:t>万元，在老信访局原址建成墨玉县应急指挥中心，初步搭建起涵盖安全生产、防灾减灾、应急救援、指挥调度、视频巡查、会议调度等多功能为一体的应急指挥管理系统，显著提升了应急管理的智能化水平和决策效率。</w:t>
      </w:r>
    </w:p>
    <w:p w14:paraId="62D39012">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76" w:lineRule="exact"/>
        <w:ind w:leftChars="0" w:firstLine="0" w:firstLineChars="0"/>
        <w:jc w:val="center"/>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r>
        <w:rPr>
          <w:rFonts w:hint="eastAsia" w:ascii="方正楷体_GB2312" w:hAnsi="方正楷体_GB2312" w:eastAsia="方正楷体_GB2312" w:cs="方正楷体_GB2312"/>
          <w:b/>
          <w:bCs/>
          <w:snapToGrid w:val="0"/>
          <w:color w:val="auto"/>
          <w:spacing w:val="3"/>
          <w:kern w:val="0"/>
          <w:sz w:val="32"/>
          <w:szCs w:val="32"/>
          <w:lang w:val="en-US" w:eastAsia="zh-CN"/>
        </w:rPr>
        <w:t>　　</w:t>
      </w:r>
      <w:r>
        <w:rPr>
          <w:rFonts w:hint="eastAsia" w:ascii="方正楷体简体" w:hAnsi="方正楷体简体" w:eastAsia="方正楷体简体" w:cs="方正楷体简体"/>
          <w:b/>
          <w:bCs/>
          <w:snapToGrid w:val="0"/>
          <w:color w:val="auto"/>
          <w:spacing w:val="3"/>
          <w:kern w:val="0"/>
          <w:sz w:val="32"/>
          <w:szCs w:val="32"/>
          <w:lang w:val="en-US" w:eastAsia="zh-CN"/>
        </w:rPr>
        <w:t>第二节 存在的问题</w:t>
      </w:r>
    </w:p>
    <w:p w14:paraId="4CD8336A">
      <w:pPr>
        <w:keepNext w:val="0"/>
        <w:keepLines w:val="0"/>
        <w:pageBreakBefore w:val="0"/>
        <w:widowControl/>
        <w:numPr>
          <w:ilvl w:val="0"/>
          <w:numId w:val="0"/>
        </w:numPr>
        <w:kinsoku w:val="0"/>
        <w:wordWrap/>
        <w:overflowPunct/>
        <w:topLinePunct w:val="0"/>
        <w:autoSpaceDE w:val="0"/>
        <w:autoSpaceDN w:val="0"/>
        <w:bidi w:val="0"/>
        <w:adjustRightInd w:val="0"/>
        <w:snapToGrid w:val="0"/>
        <w:spacing w:after="0" w:afterLines="0" w:afterAutospacing="0" w:line="560" w:lineRule="exact"/>
        <w:ind w:leftChars="0" w:right="0" w:rightChars="0" w:firstLine="0" w:firstLineChars="0"/>
        <w:jc w:val="left"/>
        <w:textAlignment w:val="baseline"/>
        <w:outlineLvl w:val="2"/>
        <w:rPr>
          <w:rFonts w:hint="eastAsia" w:ascii="仿宋_GB2312" w:hAnsi="仿宋_GB2312" w:eastAsia="仿宋_GB2312" w:cs="仿宋_GB2312"/>
          <w:b/>
          <w:bCs/>
          <w:snapToGrid w:val="0"/>
          <w:color w:val="000000"/>
          <w:spacing w:val="10"/>
          <w:kern w:val="0"/>
          <w:sz w:val="32"/>
          <w:szCs w:val="32"/>
          <w:lang w:val="en-US" w:eastAsia="zh-CN"/>
        </w:rPr>
      </w:pPr>
      <w:r>
        <w:rPr>
          <w:rFonts w:hint="eastAsia" w:ascii="楷体" w:hAnsi="楷体" w:eastAsia="楷体" w:cs="楷体"/>
          <w:b/>
          <w:bCs/>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一、区域内风险要素复杂，应急管理形势严峻</w:t>
      </w:r>
    </w:p>
    <w:p w14:paraId="7B63B6BD">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Chars="0" w:right="0" w:firstLine="0" w:firstLineChars="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napToGrid w:val="0"/>
          <w:color w:val="auto"/>
          <w:spacing w:val="13"/>
          <w:kern w:val="0"/>
          <w:sz w:val="32"/>
          <w:szCs w:val="32"/>
          <w:lang w:val="en-US" w:eastAsia="zh-CN"/>
        </w:rPr>
        <w:t>　　墨玉县自然灾害频发，风险要素交织，安全生产基础薄弱，群众抵御自然灾害能力较弱，因灾致贫返贫风险依然存在，加之各类事故隐患与安全风险叠加，应急管理形势严峻。</w:t>
      </w:r>
    </w:p>
    <w:p w14:paraId="6A8BEC59">
      <w:pPr>
        <w:keepNext w:val="0"/>
        <w:keepLines w:val="0"/>
        <w:pageBreakBefore w:val="0"/>
        <w:widowControl/>
        <w:numPr>
          <w:ilvl w:val="0"/>
          <w:numId w:val="0"/>
        </w:numPr>
        <w:kinsoku w:val="0"/>
        <w:wordWrap/>
        <w:overflowPunct/>
        <w:topLinePunct w:val="0"/>
        <w:autoSpaceDE w:val="0"/>
        <w:autoSpaceDN w:val="0"/>
        <w:bidi w:val="0"/>
        <w:adjustRightInd w:val="0"/>
        <w:snapToGrid w:val="0"/>
        <w:spacing w:after="0" w:afterLines="0" w:afterAutospacing="0" w:line="560" w:lineRule="exact"/>
        <w:ind w:leftChars="0" w:right="0" w:rightChars="0" w:firstLine="0" w:firstLineChars="0"/>
        <w:jc w:val="left"/>
        <w:textAlignment w:val="baseline"/>
        <w:outlineLvl w:val="2"/>
        <w:rPr>
          <w:rFonts w:hint="eastAsia" w:ascii="仿宋_GB2312" w:hAnsi="仿宋_GB2312" w:eastAsia="仿宋_GB2312" w:cs="仿宋_GB2312"/>
          <w:b/>
          <w:bCs/>
          <w:snapToGrid w:val="0"/>
          <w:color w:val="000000"/>
          <w:spacing w:val="10"/>
          <w:kern w:val="0"/>
          <w:sz w:val="32"/>
          <w:szCs w:val="32"/>
          <w:lang w:val="en-US" w:eastAsia="zh-CN"/>
        </w:rPr>
      </w:pPr>
      <w:r>
        <w:rPr>
          <w:rFonts w:hint="eastAsia" w:ascii="仿宋_GB2312" w:hAnsi="仿宋_GB2312" w:eastAsia="仿宋_GB2312" w:cs="仿宋_GB2312"/>
          <w:b/>
          <w:bCs/>
          <w:snapToGrid w:val="0"/>
          <w:color w:val="000000"/>
          <w:spacing w:val="10"/>
          <w:kern w:val="0"/>
          <w:sz w:val="32"/>
          <w:szCs w:val="32"/>
          <w:lang w:val="en-US" w:eastAsia="zh-CN"/>
        </w:rPr>
        <w:t>　　二、应急基础设施薄弱，综合救援能力有待提升</w:t>
      </w:r>
    </w:p>
    <w:p w14:paraId="655D56F5">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Chars="0" w:right="0" w:firstLine="0" w:firstLineChars="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napToGrid w:val="0"/>
          <w:color w:val="auto"/>
          <w:spacing w:val="13"/>
          <w:kern w:val="0"/>
          <w:sz w:val="32"/>
          <w:szCs w:val="32"/>
          <w:lang w:val="en-US" w:eastAsia="zh-CN"/>
        </w:rPr>
        <w:t>　　自然灾害防御能力与自治区实施战略不协调、不配套；规范化应急避难场所规划建设管理存在不足，专业化力量紧缺，现代化救援装备配备不足，乡镇救援能力薄弱。</w:t>
      </w:r>
    </w:p>
    <w:p w14:paraId="518B10B2">
      <w:pPr>
        <w:keepNext w:val="0"/>
        <w:keepLines w:val="0"/>
        <w:pageBreakBefore w:val="0"/>
        <w:widowControl/>
        <w:numPr>
          <w:ilvl w:val="0"/>
          <w:numId w:val="0"/>
        </w:numPr>
        <w:kinsoku w:val="0"/>
        <w:wordWrap/>
        <w:overflowPunct/>
        <w:topLinePunct w:val="0"/>
        <w:autoSpaceDE w:val="0"/>
        <w:autoSpaceDN w:val="0"/>
        <w:bidi w:val="0"/>
        <w:adjustRightInd w:val="0"/>
        <w:snapToGrid w:val="0"/>
        <w:spacing w:after="0" w:afterLines="0" w:afterAutospacing="0" w:line="560" w:lineRule="exact"/>
        <w:ind w:leftChars="0" w:right="0" w:rightChars="0" w:firstLine="0" w:firstLineChars="0"/>
        <w:jc w:val="left"/>
        <w:textAlignment w:val="baseline"/>
        <w:outlineLvl w:val="2"/>
        <w:rPr>
          <w:rFonts w:hint="eastAsia" w:ascii="仿宋_GB2312" w:hAnsi="仿宋_GB2312" w:eastAsia="仿宋_GB2312" w:cs="仿宋_GB2312"/>
          <w:b/>
          <w:bCs/>
          <w:snapToGrid w:val="0"/>
          <w:color w:val="000000"/>
          <w:spacing w:val="10"/>
          <w:kern w:val="0"/>
          <w:sz w:val="32"/>
          <w:szCs w:val="32"/>
          <w:lang w:val="en-US" w:eastAsia="zh-CN"/>
        </w:rPr>
      </w:pPr>
      <w:r>
        <w:rPr>
          <w:rFonts w:hint="eastAsia" w:ascii="仿宋_GB2312" w:hAnsi="仿宋_GB2312" w:eastAsia="仿宋_GB2312" w:cs="仿宋_GB2312"/>
          <w:b/>
          <w:bCs/>
          <w:snapToGrid w:val="0"/>
          <w:color w:val="000000"/>
          <w:spacing w:val="10"/>
          <w:kern w:val="0"/>
          <w:sz w:val="32"/>
          <w:szCs w:val="32"/>
          <w:lang w:val="en-US" w:eastAsia="zh-CN"/>
        </w:rPr>
        <w:t>　　三、应对多灾种统一指挥、跨部门协调能力不足</w:t>
      </w:r>
    </w:p>
    <w:p w14:paraId="71D82603">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面对多灾种、风险交叠等应急场景，现有应急指挥中心受场地面积、设备等限制，与构建“一屏同览”、上下联动、反应灵敏的建设要求存在差距。</w:t>
      </w:r>
    </w:p>
    <w:p w14:paraId="09372C81">
      <w:pPr>
        <w:keepNext w:val="0"/>
        <w:keepLines w:val="0"/>
        <w:pageBreakBefore w:val="0"/>
        <w:widowControl/>
        <w:numPr>
          <w:ilvl w:val="0"/>
          <w:numId w:val="0"/>
        </w:numPr>
        <w:kinsoku w:val="0"/>
        <w:wordWrap/>
        <w:overflowPunct/>
        <w:topLinePunct w:val="0"/>
        <w:autoSpaceDE w:val="0"/>
        <w:autoSpaceDN w:val="0"/>
        <w:bidi w:val="0"/>
        <w:adjustRightInd w:val="0"/>
        <w:snapToGrid w:val="0"/>
        <w:spacing w:after="0" w:afterLines="0" w:afterAutospacing="0" w:line="560" w:lineRule="exact"/>
        <w:ind w:leftChars="0" w:right="0" w:rightChars="0" w:firstLine="0" w:firstLineChars="0"/>
        <w:jc w:val="left"/>
        <w:textAlignment w:val="baseline"/>
        <w:outlineLvl w:val="2"/>
        <w:rPr>
          <w:rFonts w:hint="eastAsia" w:ascii="仿宋_GB2312" w:hAnsi="仿宋_GB2312" w:eastAsia="仿宋_GB2312" w:cs="仿宋_GB2312"/>
          <w:b/>
          <w:bCs/>
          <w:snapToGrid w:val="0"/>
          <w:color w:val="000000"/>
          <w:spacing w:val="10"/>
          <w:kern w:val="0"/>
          <w:sz w:val="32"/>
          <w:szCs w:val="32"/>
          <w:lang w:val="en-US" w:eastAsia="zh-CN"/>
        </w:rPr>
      </w:pPr>
      <w:r>
        <w:rPr>
          <w:rFonts w:hint="eastAsia" w:ascii="仿宋_GB2312" w:hAnsi="仿宋_GB2312" w:eastAsia="仿宋_GB2312" w:cs="仿宋_GB2312"/>
          <w:b/>
          <w:bCs/>
          <w:snapToGrid w:val="0"/>
          <w:color w:val="000000"/>
          <w:spacing w:val="10"/>
          <w:kern w:val="0"/>
          <w:sz w:val="32"/>
          <w:szCs w:val="32"/>
          <w:lang w:val="en-US" w:eastAsia="zh-CN"/>
        </w:rPr>
        <w:t>　　四、防灾减灾意识有待加强</w:t>
      </w:r>
    </w:p>
    <w:p w14:paraId="046E0C0D">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部分领导干部缺少应急管理系统培训，风险意识和底线思维尚未牢固树立；民众风险防范与自救互救技能较低，全社会共同参与防灾减灾救灾的氛围不够浓厚。</w:t>
      </w:r>
    </w:p>
    <w:p w14:paraId="3C3255A0">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96" w:lineRule="exact"/>
        <w:ind w:firstLine="0" w:firstLineChars="0"/>
        <w:jc w:val="center"/>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r>
        <w:rPr>
          <w:rFonts w:hint="eastAsia" w:ascii="方正楷体简体" w:hAnsi="方正楷体简体" w:eastAsia="方正楷体简体" w:cs="方正楷体简体"/>
          <w:b/>
          <w:bCs/>
          <w:snapToGrid w:val="0"/>
          <w:color w:val="auto"/>
          <w:spacing w:val="3"/>
          <w:kern w:val="0"/>
          <w:sz w:val="32"/>
          <w:szCs w:val="32"/>
          <w:lang w:val="en-US" w:eastAsia="zh-CN"/>
        </w:rPr>
        <w:t>第三节 发展机遇</w:t>
      </w:r>
    </w:p>
    <w:p w14:paraId="493724CE">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0"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snapToGrid w:val="0"/>
          <w:color w:val="auto"/>
          <w:spacing w:val="13"/>
          <w:kern w:val="0"/>
          <w:sz w:val="32"/>
          <w:szCs w:val="32"/>
          <w:lang w:val="en-US" w:eastAsia="en-US"/>
        </w:rPr>
        <w:t>“十五五”</w:t>
      </w:r>
      <w:r>
        <w:rPr>
          <w:rFonts w:hint="eastAsia" w:ascii="仿宋_GB2312" w:hAnsi="仿宋_GB2312" w:eastAsia="仿宋_GB2312" w:cs="仿宋_GB2312"/>
          <w:snapToGrid w:val="0"/>
          <w:color w:val="auto"/>
          <w:spacing w:val="13"/>
          <w:kern w:val="0"/>
          <w:sz w:val="32"/>
          <w:szCs w:val="32"/>
          <w:lang w:val="en-US" w:eastAsia="zh-CN"/>
        </w:rPr>
        <w:t>时期</w:t>
      </w:r>
      <w:r>
        <w:rPr>
          <w:rFonts w:hint="eastAsia" w:ascii="仿宋_GB2312" w:hAnsi="仿宋_GB2312" w:eastAsia="仿宋_GB2312" w:cs="仿宋_GB2312"/>
          <w:snapToGrid w:val="0"/>
          <w:color w:val="auto"/>
          <w:spacing w:val="13"/>
          <w:kern w:val="0"/>
          <w:sz w:val="32"/>
          <w:szCs w:val="32"/>
          <w:lang w:val="en-US" w:eastAsia="en-US"/>
        </w:rPr>
        <w:t>是</w:t>
      </w:r>
      <w:r>
        <w:rPr>
          <w:rFonts w:hint="eastAsia" w:ascii="仿宋_GB2312" w:hAnsi="仿宋_GB2312" w:eastAsia="仿宋_GB2312" w:cs="仿宋_GB2312"/>
          <w:snapToGrid w:val="0"/>
          <w:color w:val="auto"/>
          <w:spacing w:val="13"/>
          <w:kern w:val="0"/>
          <w:sz w:val="32"/>
          <w:szCs w:val="32"/>
          <w:lang w:val="en-US" w:eastAsia="zh-CN"/>
        </w:rPr>
        <w:t>墨玉县</w:t>
      </w:r>
      <w:r>
        <w:rPr>
          <w:rFonts w:hint="eastAsia" w:ascii="仿宋_GB2312" w:hAnsi="仿宋_GB2312" w:eastAsia="仿宋_GB2312" w:cs="仿宋_GB2312"/>
          <w:snapToGrid w:val="0"/>
          <w:color w:val="auto"/>
          <w:spacing w:val="13"/>
          <w:kern w:val="0"/>
          <w:sz w:val="32"/>
          <w:szCs w:val="32"/>
          <w:lang w:val="en-US" w:eastAsia="en-US"/>
        </w:rPr>
        <w:t>推进高质量发展、开启全面建设社会主义现代化新征程的新起点。综合防灾减灾救灾是公共安全的重要组成部分，是基础性、公益性事业，事关人民群众生命财产安全。</w:t>
      </w:r>
      <w:r>
        <w:rPr>
          <w:rFonts w:hint="eastAsia" w:ascii="仿宋_GB2312" w:hAnsi="仿宋_GB2312" w:eastAsia="仿宋_GB2312" w:cs="仿宋_GB2312"/>
          <w:snapToGrid w:val="0"/>
          <w:color w:val="auto"/>
          <w:spacing w:val="13"/>
          <w:kern w:val="0"/>
          <w:sz w:val="32"/>
          <w:szCs w:val="32"/>
          <w:lang w:val="en-US" w:eastAsia="zh-CN"/>
        </w:rPr>
        <w:t>该规划任务将在“十五五”时期持续推进，综合防灾减灾救灾工作被列为保障实现社会稳定与长治久安总目标的重要任务，为综合减灾工作开展提供了根本保障。</w:t>
      </w:r>
    </w:p>
    <w:p w14:paraId="5953F0C6">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0" w:firstLineChars="0"/>
        <w:jc w:val="left"/>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　一是党和国家的高度重视与坚强领导为综合防灾减灾救灾工作提供坚实保障。</w:t>
      </w:r>
      <w:r>
        <w:rPr>
          <w:rFonts w:hint="eastAsia" w:ascii="仿宋_GB2312" w:hAnsi="仿宋_GB2312" w:eastAsia="仿宋_GB2312" w:cs="仿宋_GB2312"/>
          <w:snapToGrid w:val="0"/>
          <w:color w:val="auto"/>
          <w:spacing w:val="13"/>
          <w:kern w:val="0"/>
          <w:sz w:val="32"/>
          <w:szCs w:val="32"/>
          <w:lang w:val="en-US" w:eastAsia="zh-CN"/>
        </w:rPr>
        <w:t>以习近平同志为核心的党中央高度重视应急管理工作，将其作为国家治理体系和治理能力的重要组成部分，作出一系列重大决策部署，为应急管理工作指明方向、提供根本遵循。统筹发展和安全，为加快构建“大安全、大应急、大减灾”体系，完善应急管理体制，深化推进地区应急管理事业改革发展提供强大动力。</w:t>
      </w:r>
    </w:p>
    <w:p w14:paraId="4A3081D0">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firstLine="0" w:firstLineChars="0"/>
        <w:jc w:val="both"/>
        <w:textAlignment w:val="baseline"/>
        <w:outlineLvl w:val="1"/>
        <w:rPr>
          <w:rFonts w:hint="eastAsia" w:ascii="仿宋_GB2312" w:hAnsi="仿宋_GB2312" w:eastAsia="仿宋_GB2312" w:cs="仿宋_GB2312"/>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二是新疆特色现代化应急管理体系建设为应急管理工作带来新机遇。</w:t>
      </w:r>
      <w:r>
        <w:rPr>
          <w:rFonts w:hint="eastAsia" w:ascii="仿宋_GB2312" w:hAnsi="仿宋_GB2312" w:eastAsia="仿宋_GB2312" w:cs="仿宋_GB2312"/>
          <w:snapToGrid w:val="0"/>
          <w:color w:val="auto"/>
          <w:spacing w:val="13"/>
          <w:kern w:val="0"/>
          <w:sz w:val="32"/>
          <w:szCs w:val="32"/>
          <w:lang w:val="en-US" w:eastAsia="zh-CN"/>
        </w:rPr>
        <w:t>自治区在“十四五”规划成就基础上，持续深化应急管理体制改革，建成统一领导、权责一致、权威高效的应急能力体系，全面落实安全主体责任、监管责任，大幅提升应急管理法治水平和科技信息化水平，不断推进新疆特色应急管理体系和能力现代化，为科学高效履行防范化解重大安全风险、应对处置各类灾害事故的重要职责创造有利条件。</w:t>
      </w:r>
    </w:p>
    <w:p w14:paraId="6E58A027">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firstLine="0" w:firstLineChars="0"/>
        <w:jc w:val="center"/>
        <w:textAlignment w:val="baseline"/>
        <w:outlineLvl w:val="1"/>
        <w:rPr>
          <w:rFonts w:hint="eastAsia" w:ascii="方正楷体简体" w:hAnsi="方正楷体简体" w:eastAsia="方正楷体简体" w:cs="方正楷体简体"/>
          <w:b/>
          <w:bCs/>
          <w:snapToGrid w:val="0"/>
          <w:color w:val="auto"/>
          <w:spacing w:val="3"/>
          <w:kern w:val="0"/>
          <w:sz w:val="32"/>
          <w:szCs w:val="32"/>
          <w:lang w:val="en-US" w:eastAsia="zh-CN"/>
        </w:rPr>
      </w:pPr>
      <w:r>
        <w:rPr>
          <w:rFonts w:hint="eastAsia" w:ascii="楷体" w:hAnsi="楷体" w:eastAsia="楷体" w:cs="楷体"/>
          <w:b/>
          <w:bCs/>
          <w:snapToGrid w:val="0"/>
          <w:color w:val="auto"/>
          <w:spacing w:val="3"/>
          <w:kern w:val="0"/>
          <w:sz w:val="32"/>
          <w:szCs w:val="32"/>
          <w:lang w:val="en-US" w:eastAsia="zh-CN"/>
        </w:rPr>
        <w:t>　　</w:t>
      </w:r>
      <w:r>
        <w:rPr>
          <w:rFonts w:hint="eastAsia" w:ascii="方正楷体简体" w:hAnsi="方正楷体简体" w:eastAsia="方正楷体简体" w:cs="方正楷体简体"/>
          <w:b/>
          <w:bCs/>
          <w:snapToGrid w:val="0"/>
          <w:color w:val="auto"/>
          <w:spacing w:val="3"/>
          <w:kern w:val="0"/>
          <w:sz w:val="32"/>
          <w:szCs w:val="32"/>
          <w:lang w:val="en-US" w:eastAsia="zh-CN"/>
        </w:rPr>
        <w:t>第四节 面临的挑战</w:t>
      </w:r>
    </w:p>
    <w:p w14:paraId="4B1E9E36">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902" w:firstLineChars="20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b/>
          <w:bCs/>
          <w:snapToGrid w:val="0"/>
          <w:color w:val="auto"/>
          <w:spacing w:val="13"/>
          <w:kern w:val="0"/>
          <w:sz w:val="32"/>
          <w:szCs w:val="32"/>
          <w:lang w:val="en-US" w:eastAsia="zh-CN"/>
        </w:rPr>
        <w:t>防灾减灾救灾任务依旧艰巨。</w:t>
      </w:r>
      <w:r>
        <w:rPr>
          <w:rFonts w:hint="eastAsia" w:ascii="仿宋_GB2312" w:hAnsi="仿宋_GB2312" w:eastAsia="仿宋_GB2312" w:cs="仿宋_GB2312"/>
          <w:snapToGrid w:val="0"/>
          <w:color w:val="auto"/>
          <w:spacing w:val="13"/>
          <w:kern w:val="0"/>
          <w:sz w:val="32"/>
          <w:szCs w:val="32"/>
          <w:lang w:val="en-US" w:eastAsia="zh-CN"/>
        </w:rPr>
        <w:t>墨玉县地质灾害频发，严重威胁人民群众生命财产安全。根据《地质灾害调查》及墨玉县近</w:t>
      </w:r>
      <w:r>
        <w:rPr>
          <w:rFonts w:hint="default" w:ascii="Times New Roman" w:hAnsi="Times New Roman" w:eastAsia="仿宋_GB2312" w:cs="Times New Roman"/>
          <w:snapToGrid w:val="0"/>
          <w:color w:val="auto"/>
          <w:spacing w:val="13"/>
          <w:kern w:val="0"/>
          <w:sz w:val="32"/>
          <w:szCs w:val="32"/>
          <w:lang w:val="en-US" w:eastAsia="zh-CN"/>
        </w:rPr>
        <w:t>10</w:t>
      </w:r>
      <w:r>
        <w:rPr>
          <w:rFonts w:hint="eastAsia" w:ascii="仿宋_GB2312" w:hAnsi="仿宋_GB2312" w:eastAsia="仿宋_GB2312" w:cs="仿宋_GB2312"/>
          <w:snapToGrid w:val="0"/>
          <w:color w:val="auto"/>
          <w:spacing w:val="13"/>
          <w:kern w:val="0"/>
          <w:sz w:val="32"/>
          <w:szCs w:val="32"/>
          <w:lang w:val="en-US" w:eastAsia="zh-CN"/>
        </w:rPr>
        <w:t>年地质灾害巡查、群众报灾等资料，全县共分布各类地质灾害（隐患）点</w:t>
      </w:r>
      <w:r>
        <w:rPr>
          <w:rFonts w:hint="eastAsia" w:ascii="Times New Roman" w:hAnsi="Times New Roman" w:eastAsia="仿宋_GB2312" w:cs="Times New Roman"/>
          <w:snapToGrid w:val="0"/>
          <w:color w:val="auto"/>
          <w:spacing w:val="13"/>
          <w:kern w:val="0"/>
          <w:sz w:val="32"/>
          <w:szCs w:val="32"/>
          <w:lang w:val="en-US" w:eastAsia="zh-CN"/>
        </w:rPr>
        <w:t>76</w:t>
      </w:r>
      <w:r>
        <w:rPr>
          <w:rFonts w:hint="eastAsia" w:ascii="仿宋_GB2312" w:hAnsi="仿宋_GB2312" w:eastAsia="仿宋_GB2312" w:cs="仿宋_GB2312"/>
          <w:snapToGrid w:val="0"/>
          <w:color w:val="auto"/>
          <w:spacing w:val="13"/>
          <w:kern w:val="0"/>
          <w:sz w:val="32"/>
          <w:szCs w:val="32"/>
          <w:lang w:val="en-US" w:eastAsia="zh-CN"/>
        </w:rPr>
        <w:t>处，灾害类型主要包括崩塌、泥石流、滑坡等。墨玉县防灾减灾形势依然严峻，防灾减灾救灾工作面临新的更大挑战。</w:t>
      </w:r>
    </w:p>
    <w:p w14:paraId="2428A746">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协同联动机制建设存在短板。</w:t>
      </w:r>
      <w:r>
        <w:rPr>
          <w:rFonts w:hint="eastAsia" w:ascii="仿宋_GB2312" w:hAnsi="仿宋_GB2312" w:eastAsia="仿宋_GB2312" w:cs="仿宋_GB2312"/>
          <w:snapToGrid w:val="0"/>
          <w:color w:val="auto"/>
          <w:spacing w:val="13"/>
          <w:kern w:val="0"/>
          <w:sz w:val="32"/>
          <w:szCs w:val="32"/>
          <w:lang w:val="en-US" w:eastAsia="zh-CN"/>
        </w:rPr>
        <w:t>墨玉县应急管理局组建时间较短，机构设置仍有短板弱项。应急管理体系建设涉及各级政府、有关部门及社会各方面，且自然灾害、事故灾难等突发事件的关联性、耦合性日益增强，上述因素对体系建设形成较大挑战。</w:t>
      </w:r>
    </w:p>
    <w:p w14:paraId="6F4C10C4">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风险监测预测能力有待提升。</w:t>
      </w:r>
      <w:r>
        <w:rPr>
          <w:rFonts w:hint="eastAsia" w:ascii="仿宋_GB2312" w:hAnsi="仿宋_GB2312" w:eastAsia="仿宋_GB2312" w:cs="仿宋_GB2312"/>
          <w:snapToGrid w:val="0"/>
          <w:color w:val="auto"/>
          <w:spacing w:val="13"/>
          <w:kern w:val="0"/>
          <w:sz w:val="32"/>
          <w:szCs w:val="32"/>
          <w:lang w:val="en-US" w:eastAsia="zh-CN"/>
        </w:rPr>
        <w:t>针对气象、水旱、地震、沙尘暴等破坏性较强的地方性自然灾害，监测台网建设仍存在较大空白；自然灾害预报预警的时效性、准确性及信息传递的及时性需进一步提高。</w:t>
      </w:r>
    </w:p>
    <w:p w14:paraId="0FF5BAB4">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80" w:lineRule="exact"/>
        <w:ind w:left="0" w:leftChars="0" w:right="0" w:firstLine="0" w:firstLineChars="0"/>
        <w:jc w:val="both"/>
        <w:textAlignment w:val="baseline"/>
        <w:rPr>
          <w:rFonts w:hint="eastAsia" w:ascii="仿宋" w:hAnsi="仿宋" w:eastAsia="仿宋" w:cs="仿宋"/>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以高质量安全保障县域发展和乡村全面振兴仍存在差距。</w:t>
      </w:r>
      <w:r>
        <w:rPr>
          <w:rFonts w:hint="eastAsia" w:ascii="仿宋_GB2312" w:hAnsi="仿宋_GB2312" w:eastAsia="仿宋_GB2312" w:cs="仿宋_GB2312"/>
          <w:snapToGrid w:val="0"/>
          <w:color w:val="auto"/>
          <w:spacing w:val="13"/>
          <w:kern w:val="0"/>
          <w:sz w:val="32"/>
          <w:szCs w:val="32"/>
          <w:lang w:val="en-US" w:eastAsia="zh-CN"/>
        </w:rPr>
        <w:t xml:space="preserve">党的二十届四中全会强调持续巩固拓展脱贫攻坚成果，提出统筹建立常态化防止返贫致贫机制。墨玉县作为原贫困县，现有发展成就来之不易，需持续推动乡村全面振兴，坚决守牢不发生规模性返贫致贫底线，尤其要防止因灾害等安全风险导致的返贫致贫问题发生。 </w:t>
      </w:r>
    </w:p>
    <w:p w14:paraId="393C2DE6">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96" w:lineRule="exact"/>
        <w:ind w:left="0" w:leftChars="0" w:right="0" w:firstLine="0" w:firstLineChars="0"/>
        <w:jc w:val="center"/>
        <w:textAlignment w:val="baseline"/>
        <w:outlineLvl w:val="0"/>
        <w:rPr>
          <w:rFonts w:hint="eastAsia" w:ascii="黑体" w:hAnsi="黑体" w:eastAsia="黑体" w:cs="黑体"/>
          <w:snapToGrid w:val="0"/>
          <w:color w:val="000000"/>
          <w:spacing w:val="8"/>
          <w:kern w:val="0"/>
          <w:position w:val="1"/>
          <w:sz w:val="32"/>
          <w:szCs w:val="32"/>
          <w:lang w:val="en-US" w:eastAsia="zh-CN"/>
        </w:rPr>
      </w:pPr>
    </w:p>
    <w:p w14:paraId="094145AC">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0" w:firstLineChars="0"/>
        <w:jc w:val="center"/>
        <w:textAlignment w:val="baseline"/>
        <w:outlineLvl w:val="0"/>
        <w:rPr>
          <w:rFonts w:hint="eastAsia" w:ascii="黑体" w:hAnsi="黑体" w:eastAsia="黑体"/>
          <w:spacing w:val="0"/>
          <w:sz w:val="21"/>
          <w:szCs w:val="21"/>
          <w:lang w:eastAsia="zh-CN"/>
        </w:rPr>
      </w:pPr>
      <w:r>
        <w:rPr>
          <w:rFonts w:hint="eastAsia" w:ascii="黑体" w:hAnsi="黑体" w:eastAsia="黑体" w:cs="黑体"/>
          <w:snapToGrid w:val="0"/>
          <w:color w:val="000000"/>
          <w:spacing w:val="8"/>
          <w:kern w:val="0"/>
          <w:position w:val="1"/>
          <w:sz w:val="32"/>
          <w:szCs w:val="32"/>
          <w:lang w:val="en-US" w:eastAsia="zh-CN"/>
        </w:rPr>
        <w:t xml:space="preserve">第二章  指导思想、基本原则和规划目标  </w:t>
      </w:r>
    </w:p>
    <w:p w14:paraId="3C547F22">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firstLine="0" w:firstLineChars="0"/>
        <w:jc w:val="center"/>
        <w:textAlignment w:val="baseline"/>
        <w:outlineLvl w:val="1"/>
        <w:rPr>
          <w:rFonts w:hint="eastAsia" w:ascii="方正楷体简体" w:hAnsi="方正楷体简体" w:eastAsia="方正楷体简体" w:cs="方正楷体简体"/>
          <w:b/>
          <w:bCs/>
          <w:spacing w:val="0"/>
          <w:sz w:val="32"/>
          <w:szCs w:val="32"/>
          <w:lang w:eastAsia="zh-CN"/>
        </w:rPr>
      </w:pPr>
      <w:r>
        <w:rPr>
          <w:rFonts w:hint="eastAsia" w:ascii="方正楷体简体" w:hAnsi="方正楷体简体" w:eastAsia="方正楷体简体" w:cs="方正楷体简体"/>
          <w:b/>
          <w:bCs/>
          <w:snapToGrid w:val="0"/>
          <w:color w:val="auto"/>
          <w:spacing w:val="3"/>
          <w:kern w:val="0"/>
          <w:sz w:val="32"/>
          <w:szCs w:val="32"/>
          <w:lang w:val="en-US" w:eastAsia="zh-CN"/>
        </w:rPr>
        <w:t>第一节  指导思想</w:t>
      </w:r>
    </w:p>
    <w:p w14:paraId="507A7F60">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80" w:lineRule="exact"/>
        <w:ind w:left="0" w:leftChars="0" w:right="0" w:firstLine="692"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xml:space="preserve">以习近平新时代中国特色社会主义思想为指导，全面贯彻党中央、国务院、自治区、地区及县委、县政府关于风险防范与应急管理的工作部署，强化安全韧性适应理念，着力建机制、补短板、强能力、促协同、固保障，结合综合防灾减灾规划的“综合”理念，统筹发展和安全。健全应急管理体制机制，提升基础设施抗灾设防水平，完善基层应急管理体系，全面提升应急管理水平；科学规划应急避难场所，全面增强监测预警、预防救援、应急处置、危机管理等综合防范救援能力，全力防范化解重大安全风险，提升事故灾害处置能力，全面推进应急管理体系和能力现代化，统筹拓展城区空间韧性、强化地区工程韧性、提升风险治理韧性、培育城乡社会韧性，全面提高防灾减灾救灾现代化水平，切实保障人民群众生命财产安全。 </w:t>
      </w:r>
    </w:p>
    <w:p w14:paraId="48CED46F">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692"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p>
    <w:p w14:paraId="102052CF">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692"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 xml:space="preserve"> </w:t>
      </w:r>
    </w:p>
    <w:p w14:paraId="5A878CB1">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firstLine="0" w:firstLineChars="0"/>
        <w:jc w:val="center"/>
        <w:textAlignment w:val="baseline"/>
        <w:outlineLvl w:val="1"/>
        <w:rPr>
          <w:rFonts w:hint="eastAsia" w:ascii="方正楷体简体" w:hAnsi="方正楷体简体" w:eastAsia="方正楷体简体" w:cs="方正楷体简体"/>
          <w:b/>
          <w:bCs/>
          <w:spacing w:val="0"/>
          <w:sz w:val="32"/>
          <w:szCs w:val="32"/>
          <w:lang w:eastAsia="zh-CN"/>
        </w:rPr>
      </w:pPr>
      <w:r>
        <w:rPr>
          <w:rFonts w:hint="eastAsia" w:ascii="方正楷体简体" w:hAnsi="方正楷体简体" w:eastAsia="方正楷体简体" w:cs="方正楷体简体"/>
          <w:b/>
          <w:bCs/>
          <w:snapToGrid w:val="0"/>
          <w:color w:val="auto"/>
          <w:spacing w:val="3"/>
          <w:kern w:val="0"/>
          <w:sz w:val="32"/>
          <w:szCs w:val="32"/>
          <w:lang w:val="en-US" w:eastAsia="zh-CN"/>
        </w:rPr>
        <w:t>第二节  基本原则</w:t>
      </w:r>
    </w:p>
    <w:p w14:paraId="2DF4AFD6">
      <w:pPr>
        <w:keepNext w:val="0"/>
        <w:keepLines w:val="0"/>
        <w:pageBreakBefore w:val="0"/>
        <w:widowControl w:val="0"/>
        <w:numPr>
          <w:ilvl w:val="2"/>
          <w:numId w:val="0"/>
        </w:numPr>
        <w:tabs>
          <w:tab w:val="left" w:pos="0"/>
          <w:tab w:val="left" w:pos="312"/>
        </w:tabs>
        <w:wordWrap/>
        <w:overflowPunct/>
        <w:topLinePunct w:val="0"/>
        <w:bidi w:val="0"/>
        <w:adjustRightInd w:val="0"/>
        <w:snapToGrid w:val="0"/>
        <w:spacing w:before="0" w:beforeLines="0" w:after="0" w:afterLines="0" w:afterAutospacing="0" w:line="560" w:lineRule="exact"/>
        <w:ind w:left="0" w:leftChars="0" w:right="0" w:firstLine="0" w:firstLineChars="0"/>
        <w:jc w:val="both"/>
        <w:outlineLvl w:val="2"/>
        <w:rPr>
          <w:rFonts w:hint="eastAsia" w:ascii="仿宋_GB2312" w:hAnsi="仿宋_GB2312" w:eastAsia="仿宋_GB2312" w:cs="仿宋_GB2312"/>
          <w:b w:val="0"/>
          <w:bCs w:val="0"/>
          <w:snapToGrid w:val="0"/>
          <w:color w:val="000000"/>
          <w:spacing w:val="2"/>
          <w:kern w:val="0"/>
          <w:sz w:val="32"/>
          <w:szCs w:val="32"/>
          <w:lang w:val="en-US" w:eastAsia="zh-CN" w:bidi="ar-SA"/>
        </w:rPr>
      </w:pPr>
      <w:r>
        <w:rPr>
          <w:rFonts w:hint="eastAsia" w:ascii="楷体" w:hAnsi="楷体" w:eastAsia="楷体" w:cs="楷体"/>
          <w:b/>
          <w:bCs/>
          <w:snapToGrid w:val="0"/>
          <w:color w:val="000000"/>
          <w:spacing w:val="2"/>
          <w:kern w:val="0"/>
          <w:sz w:val="32"/>
          <w:szCs w:val="32"/>
          <w:lang w:val="en-US" w:eastAsia="zh-CN" w:bidi="ar-SA"/>
        </w:rPr>
        <w:t>　</w:t>
      </w:r>
      <w:r>
        <w:rPr>
          <w:rFonts w:hint="eastAsia" w:ascii="仿宋_GB2312" w:hAnsi="仿宋_GB2312" w:eastAsia="仿宋_GB2312" w:cs="仿宋_GB2312"/>
          <w:b w:val="0"/>
          <w:bCs w:val="0"/>
          <w:snapToGrid w:val="0"/>
          <w:color w:val="000000"/>
          <w:spacing w:val="2"/>
          <w:kern w:val="0"/>
          <w:sz w:val="32"/>
          <w:szCs w:val="32"/>
          <w:lang w:val="en-US" w:eastAsia="zh-CN" w:bidi="ar-SA"/>
        </w:rPr>
        <w:t>　</w:t>
      </w:r>
      <w:r>
        <w:rPr>
          <w:rFonts w:hint="eastAsia" w:ascii="仿宋_GB2312" w:hAnsi="仿宋_GB2312" w:eastAsia="仿宋_GB2312" w:cs="仿宋_GB2312"/>
          <w:b/>
          <w:bCs/>
          <w:snapToGrid w:val="0"/>
          <w:color w:val="000000"/>
          <w:spacing w:val="2"/>
          <w:kern w:val="0"/>
          <w:sz w:val="32"/>
          <w:szCs w:val="32"/>
          <w:lang w:val="en-US" w:eastAsia="zh-CN" w:bidi="ar-SA"/>
        </w:rPr>
        <w:t xml:space="preserve">一、坚持党的全面领导  </w:t>
      </w:r>
    </w:p>
    <w:p w14:paraId="6418E8A2">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0" w:firstLineChars="0"/>
        <w:jc w:val="both"/>
        <w:textAlignment w:val="baseline"/>
        <w:rPr>
          <w:rFonts w:hint="eastAsia" w:ascii="仿宋_GB2312" w:hAnsi="仿宋_GB2312" w:eastAsia="仿宋_GB2312" w:cs="仿宋_GB2312"/>
          <w:b w:val="0"/>
          <w:bCs w:val="0"/>
          <w:snapToGrid w:val="0"/>
          <w:color w:val="000000"/>
          <w:spacing w:val="7"/>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充分发挥地方各级党委和政府的组织领导、统筹协调、保障支撑作用，将党的集中统一领导的政治优势、组织优势和社会主义制度集中力量办大事的体制优势转化为发展优势，推动树立灾害风险管理和综合减灾理念，落实“两个坚持、三个转变”要求，形成各方齐抓共管、协同配合的工作格局，为防灾减灾救灾工作凝聚力量、提供保障。</w:t>
      </w:r>
      <w:r>
        <w:rPr>
          <w:rFonts w:hint="eastAsia" w:ascii="仿宋_GB2312" w:hAnsi="仿宋_GB2312" w:eastAsia="仿宋_GB2312" w:cs="仿宋_GB2312"/>
          <w:b w:val="0"/>
          <w:bCs w:val="0"/>
          <w:snapToGrid w:val="0"/>
          <w:color w:val="000000"/>
          <w:spacing w:val="7"/>
          <w:kern w:val="0"/>
          <w:sz w:val="32"/>
          <w:szCs w:val="32"/>
          <w:lang w:val="en-US" w:eastAsia="zh-CN"/>
        </w:rPr>
        <w:t xml:space="preserve">  </w:t>
      </w:r>
    </w:p>
    <w:p w14:paraId="04BB376E">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0" w:firstLineChars="0"/>
        <w:jc w:val="left"/>
        <w:textAlignment w:val="baseline"/>
        <w:rPr>
          <w:rFonts w:hint="eastAsia" w:ascii="仿宋_GB2312" w:hAnsi="仿宋_GB2312" w:eastAsia="仿宋_GB2312" w:cs="仿宋_GB2312"/>
          <w:b w:val="0"/>
          <w:bCs w:val="0"/>
          <w:snapToGrid w:val="0"/>
          <w:color w:val="000000"/>
          <w:spacing w:val="4"/>
          <w:kern w:val="0"/>
          <w:sz w:val="32"/>
          <w:szCs w:val="32"/>
          <w:lang w:val="en-US" w:eastAsia="zh-CN" w:bidi="ar-SA"/>
        </w:rPr>
      </w:pPr>
      <w:r>
        <w:rPr>
          <w:rFonts w:hint="eastAsia" w:ascii="仿宋_GB2312" w:hAnsi="仿宋_GB2312" w:eastAsia="仿宋_GB2312" w:cs="仿宋_GB2312"/>
          <w:b w:val="0"/>
          <w:bCs w:val="0"/>
          <w:snapToGrid w:val="0"/>
          <w:color w:val="000000"/>
          <w:spacing w:val="4"/>
          <w:kern w:val="0"/>
          <w:sz w:val="32"/>
          <w:szCs w:val="32"/>
          <w:lang w:val="en-US" w:eastAsia="zh-CN" w:bidi="ar-SA"/>
        </w:rPr>
        <w:t>　　</w:t>
      </w:r>
      <w:r>
        <w:rPr>
          <w:rFonts w:hint="eastAsia" w:ascii="仿宋_GB2312" w:hAnsi="仿宋_GB2312" w:eastAsia="仿宋_GB2312" w:cs="仿宋_GB2312"/>
          <w:b/>
          <w:bCs/>
          <w:snapToGrid w:val="0"/>
          <w:color w:val="000000"/>
          <w:spacing w:val="4"/>
          <w:kern w:val="0"/>
          <w:sz w:val="32"/>
          <w:szCs w:val="32"/>
          <w:lang w:val="en-US" w:eastAsia="zh-CN" w:bidi="ar-SA"/>
        </w:rPr>
        <w:t xml:space="preserve">二、坚持以人民为中心  </w:t>
      </w:r>
    </w:p>
    <w:p w14:paraId="228B87ED">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leftChars="0"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xml:space="preserve">　　坚持人民至上、生命至上，把保障人民群众生命安全作为首要目标，强化全灾种全链条防范应对，保障受灾群众基本生活，增强全民防灾减灾意识，提升公众安全知识普及度和自救互救技能水平，切实减少人员伤亡和财产损失。  </w:t>
      </w:r>
    </w:p>
    <w:p w14:paraId="4A69AE0F">
      <w:pPr>
        <w:keepNext w:val="0"/>
        <w:keepLines w:val="0"/>
        <w:pageBreakBefore w:val="0"/>
        <w:widowControl w:val="0"/>
        <w:numPr>
          <w:ilvl w:val="2"/>
          <w:numId w:val="0"/>
        </w:numPr>
        <w:tabs>
          <w:tab w:val="left" w:pos="0"/>
          <w:tab w:val="left" w:pos="312"/>
        </w:tabs>
        <w:wordWrap/>
        <w:overflowPunct/>
        <w:topLinePunct w:val="0"/>
        <w:bidi w:val="0"/>
        <w:adjustRightInd w:val="0"/>
        <w:snapToGrid w:val="0"/>
        <w:spacing w:before="0" w:beforeLines="0" w:after="0" w:afterLines="0" w:afterAutospacing="0" w:line="560" w:lineRule="exact"/>
        <w:ind w:left="0" w:leftChars="0" w:right="0" w:firstLine="0" w:firstLineChars="0"/>
        <w:jc w:val="both"/>
        <w:outlineLvl w:val="2"/>
        <w:rPr>
          <w:rFonts w:hint="eastAsia" w:ascii="仿宋_GB2312" w:hAnsi="仿宋_GB2312" w:eastAsia="仿宋_GB2312" w:cs="仿宋_GB2312"/>
          <w:b w:val="0"/>
          <w:bCs w:val="0"/>
          <w:snapToGrid w:val="0"/>
          <w:color w:val="000000"/>
          <w:spacing w:val="4"/>
          <w:kern w:val="0"/>
          <w:sz w:val="32"/>
          <w:szCs w:val="32"/>
          <w:lang w:val="en-US" w:eastAsia="zh-CN" w:bidi="ar-SA"/>
        </w:rPr>
      </w:pPr>
      <w:r>
        <w:rPr>
          <w:rFonts w:hint="eastAsia" w:ascii="仿宋_GB2312" w:hAnsi="仿宋_GB2312" w:eastAsia="仿宋_GB2312" w:cs="仿宋_GB2312"/>
          <w:b w:val="0"/>
          <w:bCs w:val="0"/>
          <w:snapToGrid w:val="0"/>
          <w:color w:val="000000"/>
          <w:spacing w:val="4"/>
          <w:kern w:val="0"/>
          <w:sz w:val="32"/>
          <w:szCs w:val="32"/>
          <w:lang w:val="en-US" w:eastAsia="zh-CN" w:bidi="ar-SA"/>
        </w:rPr>
        <w:t>　　</w:t>
      </w:r>
      <w:r>
        <w:rPr>
          <w:rFonts w:hint="eastAsia" w:ascii="仿宋_GB2312" w:hAnsi="仿宋_GB2312" w:eastAsia="仿宋_GB2312" w:cs="仿宋_GB2312"/>
          <w:b/>
          <w:bCs/>
          <w:snapToGrid w:val="0"/>
          <w:color w:val="000000"/>
          <w:spacing w:val="4"/>
          <w:kern w:val="0"/>
          <w:sz w:val="32"/>
          <w:szCs w:val="32"/>
          <w:lang w:val="en-US" w:eastAsia="zh-CN" w:bidi="ar-SA"/>
        </w:rPr>
        <w:t xml:space="preserve">三、坚持主动预防为主  </w:t>
      </w:r>
    </w:p>
    <w:p w14:paraId="43B4004B">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xml:space="preserve">　　坚持源头预防、关口前移，完善防灾减灾救灾法规标准预案体系，将自然灾害防治融入重大战略、重大规划、重大工程，强化常态综合减灾，突出风险评估、抗灾设防、监测预警、隐患排查，统筹运用各类资源和手段，增强全社会抵御和应对灾害的能力。  </w:t>
      </w:r>
    </w:p>
    <w:p w14:paraId="3B0DA79A">
      <w:pPr>
        <w:keepNext w:val="0"/>
        <w:keepLines w:val="0"/>
        <w:pageBreakBefore w:val="0"/>
        <w:widowControl w:val="0"/>
        <w:numPr>
          <w:ilvl w:val="2"/>
          <w:numId w:val="0"/>
        </w:numPr>
        <w:tabs>
          <w:tab w:val="left" w:pos="0"/>
          <w:tab w:val="left" w:pos="312"/>
        </w:tabs>
        <w:wordWrap/>
        <w:overflowPunct/>
        <w:topLinePunct w:val="0"/>
        <w:bidi w:val="0"/>
        <w:adjustRightInd w:val="0"/>
        <w:snapToGrid w:val="0"/>
        <w:spacing w:before="0" w:beforeLines="0" w:after="0" w:afterLines="0" w:afterAutospacing="0" w:line="560" w:lineRule="exact"/>
        <w:ind w:left="0" w:leftChars="0" w:right="0" w:firstLine="0" w:firstLineChars="0"/>
        <w:jc w:val="both"/>
        <w:outlineLvl w:val="2"/>
        <w:rPr>
          <w:rFonts w:hint="eastAsia" w:ascii="仿宋_GB2312" w:hAnsi="仿宋_GB2312" w:eastAsia="仿宋_GB2312" w:cs="仿宋_GB2312"/>
          <w:b w:val="0"/>
          <w:bCs w:val="0"/>
          <w:snapToGrid w:val="0"/>
          <w:color w:val="000000"/>
          <w:spacing w:val="2"/>
          <w:kern w:val="0"/>
          <w:sz w:val="32"/>
          <w:szCs w:val="32"/>
          <w:lang w:val="en-US" w:eastAsia="zh-CN" w:bidi="ar-SA"/>
        </w:rPr>
      </w:pPr>
      <w:r>
        <w:rPr>
          <w:rFonts w:hint="eastAsia" w:ascii="仿宋_GB2312" w:hAnsi="仿宋_GB2312" w:eastAsia="仿宋_GB2312" w:cs="仿宋_GB2312"/>
          <w:b w:val="0"/>
          <w:bCs w:val="0"/>
          <w:snapToGrid w:val="0"/>
          <w:color w:val="000000"/>
          <w:spacing w:val="2"/>
          <w:kern w:val="0"/>
          <w:sz w:val="32"/>
          <w:szCs w:val="32"/>
          <w:lang w:val="en-US" w:eastAsia="zh-CN" w:bidi="ar-SA"/>
        </w:rPr>
        <w:t>　　</w:t>
      </w:r>
      <w:r>
        <w:rPr>
          <w:rFonts w:hint="eastAsia" w:ascii="仿宋_GB2312" w:hAnsi="仿宋_GB2312" w:eastAsia="仿宋_GB2312" w:cs="仿宋_GB2312"/>
          <w:b/>
          <w:bCs/>
          <w:snapToGrid w:val="0"/>
          <w:color w:val="000000"/>
          <w:spacing w:val="2"/>
          <w:kern w:val="0"/>
          <w:sz w:val="32"/>
          <w:szCs w:val="32"/>
          <w:lang w:val="en-US" w:eastAsia="zh-CN" w:bidi="ar-SA"/>
        </w:rPr>
        <w:t xml:space="preserve">四、坚持科学精准减灾 </w:t>
      </w:r>
      <w:r>
        <w:rPr>
          <w:rFonts w:hint="eastAsia" w:ascii="仿宋_GB2312" w:hAnsi="仿宋_GB2312" w:eastAsia="仿宋_GB2312" w:cs="仿宋_GB2312"/>
          <w:b w:val="0"/>
          <w:bCs w:val="0"/>
          <w:snapToGrid w:val="0"/>
          <w:color w:val="000000"/>
          <w:spacing w:val="2"/>
          <w:kern w:val="0"/>
          <w:sz w:val="32"/>
          <w:szCs w:val="32"/>
          <w:lang w:val="en-US" w:eastAsia="zh-CN" w:bidi="ar-SA"/>
        </w:rPr>
        <w:t xml:space="preserve"> </w:t>
      </w:r>
    </w:p>
    <w:p w14:paraId="528CFCA2">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80" w:lineRule="exact"/>
        <w:ind w:left="0" w:leftChars="0"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xml:space="preserve">　　坚持系统思维，科学把握全球气候变化背景下灾害孕育、发生和演变的规律特点，优化整合运用各类科技资源，针对性实施精准治理，实现预警发布精准、预案实施精准、风险管控精准、抢险救援精准、恢复重建精准。  </w:t>
      </w:r>
    </w:p>
    <w:p w14:paraId="5FBFD74A">
      <w:pPr>
        <w:keepNext w:val="0"/>
        <w:keepLines w:val="0"/>
        <w:pageBreakBefore w:val="0"/>
        <w:widowControl w:val="0"/>
        <w:numPr>
          <w:ilvl w:val="2"/>
          <w:numId w:val="0"/>
        </w:numPr>
        <w:tabs>
          <w:tab w:val="left" w:pos="0"/>
          <w:tab w:val="left" w:pos="312"/>
        </w:tabs>
        <w:wordWrap/>
        <w:overflowPunct/>
        <w:topLinePunct w:val="0"/>
        <w:bidi w:val="0"/>
        <w:adjustRightInd w:val="0"/>
        <w:snapToGrid w:val="0"/>
        <w:spacing w:before="0" w:beforeLines="0" w:after="0" w:afterLines="0" w:afterAutospacing="0" w:line="580" w:lineRule="exact"/>
        <w:ind w:left="0" w:leftChars="0" w:right="0" w:firstLine="0" w:firstLineChars="0"/>
        <w:jc w:val="both"/>
        <w:outlineLvl w:val="2"/>
        <w:rPr>
          <w:rFonts w:hint="eastAsia" w:ascii="仿宋_GB2312" w:hAnsi="仿宋_GB2312" w:eastAsia="仿宋_GB2312" w:cs="仿宋_GB2312"/>
          <w:b w:val="0"/>
          <w:bCs w:val="0"/>
          <w:snapToGrid w:val="0"/>
          <w:color w:val="000000"/>
          <w:spacing w:val="2"/>
          <w:kern w:val="0"/>
          <w:sz w:val="32"/>
          <w:szCs w:val="32"/>
          <w:lang w:val="en-US" w:eastAsia="zh-CN" w:bidi="ar-SA"/>
        </w:rPr>
      </w:pPr>
      <w:r>
        <w:rPr>
          <w:rFonts w:hint="eastAsia" w:ascii="仿宋_GB2312" w:hAnsi="仿宋_GB2312" w:eastAsia="仿宋_GB2312" w:cs="仿宋_GB2312"/>
          <w:b w:val="0"/>
          <w:bCs w:val="0"/>
          <w:snapToGrid w:val="0"/>
          <w:color w:val="000000"/>
          <w:spacing w:val="2"/>
          <w:kern w:val="0"/>
          <w:sz w:val="32"/>
          <w:szCs w:val="32"/>
          <w:lang w:val="en-US" w:eastAsia="zh-CN" w:bidi="ar-SA"/>
        </w:rPr>
        <w:t>　　</w:t>
      </w:r>
      <w:r>
        <w:rPr>
          <w:rFonts w:hint="eastAsia" w:ascii="仿宋_GB2312" w:hAnsi="仿宋_GB2312" w:eastAsia="仿宋_GB2312" w:cs="仿宋_GB2312"/>
          <w:b/>
          <w:bCs/>
          <w:snapToGrid w:val="0"/>
          <w:color w:val="000000"/>
          <w:spacing w:val="2"/>
          <w:kern w:val="0"/>
          <w:sz w:val="32"/>
          <w:szCs w:val="32"/>
          <w:lang w:val="en-US" w:eastAsia="zh-CN" w:bidi="ar-SA"/>
        </w:rPr>
        <w:t>五、坚持群防群治综合减灾</w:t>
      </w:r>
      <w:r>
        <w:rPr>
          <w:rFonts w:hint="eastAsia" w:ascii="仿宋_GB2312" w:hAnsi="仿宋_GB2312" w:eastAsia="仿宋_GB2312" w:cs="仿宋_GB2312"/>
          <w:b w:val="0"/>
          <w:bCs w:val="0"/>
          <w:snapToGrid w:val="0"/>
          <w:color w:val="000000"/>
          <w:spacing w:val="2"/>
          <w:kern w:val="0"/>
          <w:sz w:val="32"/>
          <w:szCs w:val="32"/>
          <w:lang w:val="en-US" w:eastAsia="zh-CN" w:bidi="ar-SA"/>
        </w:rPr>
        <w:t xml:space="preserve">  </w:t>
      </w:r>
    </w:p>
    <w:p w14:paraId="6414FDCE">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80" w:lineRule="exact"/>
        <w:ind w:left="0" w:leftChars="0"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xml:space="preserve">　　坚持人民主体地位，践行群众观点和群众路线，充分发挥群团组织作用，积极发动城乡社区组织和居民群众广泛参与，强化调动社会各方面积极性的有效举措，筑牢防灾减灾救灾的人民防线。  </w:t>
      </w:r>
    </w:p>
    <w:p w14:paraId="7F95D2AF">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center"/>
        <w:textAlignment w:val="baseline"/>
        <w:outlineLvl w:val="1"/>
        <w:rPr>
          <w:rFonts w:hint="eastAsia" w:ascii="方正楷体简体" w:hAnsi="方正楷体简体" w:eastAsia="方正楷体简体" w:cs="方正楷体简体"/>
          <w:b/>
          <w:bCs/>
          <w:spacing w:val="0"/>
          <w:sz w:val="32"/>
          <w:szCs w:val="32"/>
          <w:lang w:eastAsia="zh-CN"/>
        </w:rPr>
      </w:pPr>
      <w:r>
        <w:rPr>
          <w:rFonts w:hint="eastAsia" w:ascii="方正楷体简体" w:hAnsi="方正楷体简体" w:eastAsia="方正楷体简体" w:cs="方正楷体简体"/>
          <w:b/>
          <w:bCs/>
          <w:snapToGrid w:val="0"/>
          <w:color w:val="auto"/>
          <w:spacing w:val="3"/>
          <w:kern w:val="0"/>
          <w:sz w:val="32"/>
          <w:szCs w:val="32"/>
          <w:lang w:val="en-US" w:eastAsia="zh-CN"/>
        </w:rPr>
        <w:t>第三节  规划目标</w:t>
      </w:r>
    </w:p>
    <w:p w14:paraId="5D2F7ECF">
      <w:pPr>
        <w:keepNext w:val="0"/>
        <w:keepLines w:val="0"/>
        <w:pageBreakBefore w:val="0"/>
        <w:widowControl/>
        <w:numPr>
          <w:ilvl w:val="2"/>
          <w:numId w:val="0"/>
        </w:numPr>
        <w:tabs>
          <w:tab w:val="left" w:pos="0"/>
          <w:tab w:val="left" w:pos="312"/>
        </w:tabs>
        <w:wordWrap/>
        <w:overflowPunct/>
        <w:topLinePunct w:val="0"/>
        <w:autoSpaceDE w:val="0"/>
        <w:autoSpaceDN w:val="0"/>
        <w:bidi w:val="0"/>
        <w:adjustRightInd w:val="0"/>
        <w:snapToGrid w:val="0"/>
        <w:spacing w:before="0" w:beforeLines="0" w:after="0" w:afterLines="0" w:afterAutospacing="0" w:line="580" w:lineRule="exact"/>
        <w:ind w:left="0" w:leftChars="0" w:right="0" w:firstLine="0" w:firstLineChars="0"/>
        <w:jc w:val="both"/>
        <w:outlineLvl w:val="2"/>
        <w:rPr>
          <w:rFonts w:hint="eastAsia" w:ascii="仿宋_GB2312" w:hAnsi="仿宋_GB2312" w:eastAsia="仿宋_GB2312" w:cs="仿宋_GB2312"/>
          <w:b/>
          <w:bCs/>
          <w:snapToGrid w:val="0"/>
          <w:color w:val="000000"/>
          <w:spacing w:val="2"/>
          <w:kern w:val="0"/>
          <w:sz w:val="32"/>
          <w:szCs w:val="32"/>
          <w:lang w:val="en-US" w:eastAsia="zh-CN" w:bidi="ar-SA"/>
        </w:rPr>
      </w:pPr>
      <w:r>
        <w:rPr>
          <w:rFonts w:hint="eastAsia" w:ascii="方正仿宋_GB2312" w:hAnsi="方正仿宋_GB2312" w:eastAsia="方正仿宋_GB2312" w:cs="方正仿宋_GB2312"/>
          <w:b/>
          <w:bCs/>
          <w:snapToGrid w:val="0"/>
          <w:color w:val="000000"/>
          <w:spacing w:val="2"/>
          <w:kern w:val="0"/>
          <w:sz w:val="32"/>
          <w:szCs w:val="32"/>
          <w:lang w:val="en-US" w:eastAsia="zh-CN" w:bidi="ar-SA"/>
        </w:rPr>
        <w:t>　　</w:t>
      </w:r>
      <w:r>
        <w:rPr>
          <w:rFonts w:hint="eastAsia" w:ascii="仿宋_GB2312" w:hAnsi="仿宋_GB2312" w:eastAsia="仿宋_GB2312" w:cs="仿宋_GB2312"/>
          <w:b/>
          <w:bCs/>
          <w:snapToGrid w:val="0"/>
          <w:color w:val="000000"/>
          <w:spacing w:val="2"/>
          <w:kern w:val="0"/>
          <w:sz w:val="32"/>
          <w:szCs w:val="32"/>
          <w:lang w:val="en-US" w:eastAsia="zh-CN" w:bidi="ar-SA"/>
        </w:rPr>
        <w:t xml:space="preserve">一、基本思路  </w:t>
      </w:r>
    </w:p>
    <w:p w14:paraId="76FF7D09">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80" w:lineRule="exact"/>
        <w:ind w:right="0" w:firstLine="0"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eastAsia="zh-CN"/>
        </w:rPr>
        <w:t>　　统筹发展和安全，树立灾害防范应对的底线思维和极限思维。坚决贯彻落实“两个坚持、三个转变”的防灾减灾救灾理念，自觉处理好人与自然的关系，正确处理防灾</w:t>
      </w:r>
      <w:r>
        <w:rPr>
          <w:rFonts w:hint="eastAsia" w:ascii="仿宋_GB2312" w:hAnsi="仿宋_GB2312" w:eastAsia="仿宋_GB2312" w:cs="仿宋_GB2312"/>
          <w:snapToGrid w:val="0"/>
          <w:color w:val="auto"/>
          <w:spacing w:val="13"/>
          <w:kern w:val="0"/>
          <w:sz w:val="32"/>
          <w:szCs w:val="32"/>
          <w:lang w:val="en-US" w:eastAsia="zh-CN"/>
        </w:rPr>
        <w:t>减灾救灾和经济社会发展的关系，进一步增强忧患意识、底线思维，进一步完善防灾减灾救灾体系，大力提升防灾减灾救灾能力。</w:t>
      </w:r>
    </w:p>
    <w:p w14:paraId="721F9D61">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80" w:lineRule="exact"/>
        <w:ind w:left="0" w:leftChars="0" w:right="0" w:firstLine="0" w:firstLineChars="0"/>
        <w:jc w:val="both"/>
        <w:textAlignment w:val="baseline"/>
        <w:outlineLvl w:val="2"/>
        <w:rPr>
          <w:rFonts w:hint="eastAsia" w:ascii="仿宋_GB2312" w:hAnsi="仿宋_GB2312" w:eastAsia="仿宋_GB2312" w:cs="仿宋_GB2312"/>
          <w:b/>
          <w:bCs/>
          <w:snapToGrid w:val="0"/>
          <w:color w:val="000000"/>
          <w:spacing w:val="4"/>
          <w:kern w:val="0"/>
          <w:sz w:val="32"/>
          <w:szCs w:val="32"/>
          <w:lang w:val="en-US" w:eastAsia="zh-CN"/>
        </w:rPr>
      </w:pPr>
      <w:r>
        <w:rPr>
          <w:rFonts w:hint="eastAsia" w:ascii="仿宋_GB2312" w:hAnsi="仿宋_GB2312" w:eastAsia="仿宋_GB2312" w:cs="仿宋_GB2312"/>
          <w:b/>
          <w:bCs/>
          <w:snapToGrid w:val="0"/>
          <w:color w:val="000000"/>
          <w:spacing w:val="4"/>
          <w:kern w:val="0"/>
          <w:sz w:val="32"/>
          <w:szCs w:val="32"/>
          <w:lang w:val="en-US" w:eastAsia="zh-CN"/>
        </w:rPr>
        <w:t>　　二、总体目标</w:t>
      </w:r>
    </w:p>
    <w:p w14:paraId="52EC07DB">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80" w:lineRule="exact"/>
        <w:ind w:right="0" w:firstLine="692"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到</w:t>
      </w:r>
      <w:r>
        <w:rPr>
          <w:rFonts w:hint="default" w:ascii="Times New Roman" w:hAnsi="Times New Roman" w:eastAsia="仿宋_GB2312" w:cs="Times New Roman"/>
          <w:snapToGrid w:val="0"/>
          <w:color w:val="auto"/>
          <w:spacing w:val="13"/>
          <w:kern w:val="0"/>
          <w:sz w:val="32"/>
          <w:szCs w:val="32"/>
          <w:lang w:val="en-US" w:eastAsia="zh-CN"/>
        </w:rPr>
        <w:t>2030</w:t>
      </w:r>
      <w:r>
        <w:rPr>
          <w:rFonts w:hint="eastAsia" w:ascii="仿宋_GB2312" w:hAnsi="仿宋_GB2312" w:eastAsia="仿宋_GB2312" w:cs="仿宋_GB2312"/>
          <w:snapToGrid w:val="0"/>
          <w:color w:val="auto"/>
          <w:spacing w:val="13"/>
          <w:kern w:val="0"/>
          <w:sz w:val="32"/>
          <w:szCs w:val="32"/>
          <w:lang w:val="en-US" w:eastAsia="zh-CN"/>
        </w:rPr>
        <w:t>年，自然灾害防治体系和防治能力现代化取得较大进展，基本建立统筹高效、职责明确、防治结合、社会参与、与经济社会高质量发展相协调的自然灾害防治体系。力争到</w:t>
      </w:r>
      <w:r>
        <w:rPr>
          <w:rFonts w:hint="default" w:ascii="Times New Roman" w:hAnsi="Times New Roman" w:eastAsia="仿宋_GB2312" w:cs="Times New Roman"/>
          <w:snapToGrid w:val="0"/>
          <w:color w:val="auto"/>
          <w:spacing w:val="13"/>
          <w:kern w:val="0"/>
          <w:sz w:val="32"/>
          <w:szCs w:val="32"/>
          <w:lang w:val="en-US" w:eastAsia="zh-CN"/>
        </w:rPr>
        <w:t>2035</w:t>
      </w:r>
      <w:r>
        <w:rPr>
          <w:rFonts w:hint="eastAsia" w:ascii="仿宋_GB2312" w:hAnsi="仿宋_GB2312" w:eastAsia="仿宋_GB2312" w:cs="仿宋_GB2312"/>
          <w:snapToGrid w:val="0"/>
          <w:color w:val="auto"/>
          <w:spacing w:val="13"/>
          <w:kern w:val="0"/>
          <w:sz w:val="32"/>
          <w:szCs w:val="32"/>
          <w:lang w:val="en-US" w:eastAsia="zh-CN"/>
        </w:rPr>
        <w:t>年，自然灾害防治体系和防治能力现代化基本实现，重特大灾害应急应对工作更加有力有序有效。</w:t>
      </w:r>
    </w:p>
    <w:p w14:paraId="30B82B2E">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92"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p>
    <w:p w14:paraId="6AA6A57D">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92"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p>
    <w:p w14:paraId="4D5317CC">
      <w:pPr>
        <w:keepNext w:val="0"/>
        <w:keepLines w:val="0"/>
        <w:pageBreakBefore w:val="0"/>
        <w:widowControl/>
        <w:numPr>
          <w:ilvl w:val="0"/>
          <w:numId w:val="0"/>
        </w:numPr>
        <w:kinsoku w:val="0"/>
        <w:wordWrap/>
        <w:overflowPunct/>
        <w:topLinePunct w:val="0"/>
        <w:autoSpaceDE w:val="0"/>
        <w:autoSpaceDN w:val="0"/>
        <w:bidi w:val="0"/>
        <w:adjustRightInd w:val="0"/>
        <w:snapToGrid w:val="0"/>
        <w:spacing w:after="0" w:afterLines="0" w:afterAutospacing="0" w:line="576" w:lineRule="exact"/>
        <w:ind w:left="0" w:leftChars="0" w:right="0" w:firstLine="658" w:firstLineChars="0"/>
        <w:jc w:val="both"/>
        <w:textAlignment w:val="baseline"/>
        <w:outlineLvl w:val="2"/>
        <w:rPr>
          <w:rFonts w:hint="eastAsia" w:ascii="仿宋_GB2312" w:hAnsi="仿宋_GB2312" w:eastAsia="仿宋_GB2312" w:cs="仿宋_GB2312"/>
          <w:b/>
          <w:bCs/>
          <w:snapToGrid w:val="0"/>
          <w:color w:val="000000"/>
          <w:spacing w:val="4"/>
          <w:kern w:val="0"/>
          <w:sz w:val="32"/>
          <w:szCs w:val="32"/>
          <w:lang w:val="en-US" w:eastAsia="zh-CN" w:bidi="ar-SA"/>
        </w:rPr>
      </w:pPr>
      <w:r>
        <w:rPr>
          <w:rFonts w:hint="eastAsia" w:ascii="仿宋_GB2312" w:hAnsi="仿宋_GB2312" w:eastAsia="仿宋_GB2312" w:cs="仿宋_GB2312"/>
          <w:b/>
          <w:bCs/>
          <w:snapToGrid w:val="0"/>
          <w:color w:val="000000"/>
          <w:spacing w:val="4"/>
          <w:kern w:val="0"/>
          <w:sz w:val="32"/>
          <w:szCs w:val="32"/>
          <w:lang w:val="en-US" w:eastAsia="zh-CN" w:bidi="ar-SA"/>
        </w:rPr>
        <w:t>三、主要指标</w:t>
      </w:r>
    </w:p>
    <w:p w14:paraId="17DA8FE3">
      <w:pPr>
        <w:keepNext w:val="0"/>
        <w:keepLines w:val="0"/>
        <w:pageBreakBefore w:val="0"/>
        <w:widowControl w:val="0"/>
        <w:kinsoku/>
        <w:wordWrap/>
        <w:overflowPunct/>
        <w:topLinePunct w:val="0"/>
        <w:autoSpaceDE w:val="0"/>
        <w:autoSpaceDN w:val="0"/>
        <w:bidi w:val="0"/>
        <w:adjustRightInd/>
        <w:snapToGrid/>
        <w:spacing w:after="0" w:afterLines="0" w:afterAutospacing="0" w:line="560" w:lineRule="exact"/>
        <w:ind w:right="0" w:firstLine="0" w:firstLineChars="0"/>
        <w:jc w:val="left"/>
        <w:textAlignment w:val="auto"/>
        <w:outlineLvl w:val="9"/>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《墨玉县综合防灾减灾“十五五”实施方案》目标指标表</w:t>
      </w:r>
    </w:p>
    <w:tbl>
      <w:tblPr>
        <w:tblStyle w:val="49"/>
        <w:tblW w:w="88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91"/>
        <w:gridCol w:w="415"/>
        <w:gridCol w:w="4036"/>
        <w:gridCol w:w="1167"/>
        <w:gridCol w:w="1274"/>
        <w:gridCol w:w="1560"/>
      </w:tblGrid>
      <w:tr w14:paraId="625B8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tblHeader/>
          <w:jc w:val="center"/>
        </w:trPr>
        <w:tc>
          <w:tcPr>
            <w:tcW w:w="391" w:type="dxa"/>
            <w:tcBorders>
              <w:top w:val="single" w:color="000000" w:sz="2" w:space="0"/>
              <w:left w:val="single" w:color="000000" w:sz="2" w:space="0"/>
              <w:bottom w:val="single" w:color="000000" w:sz="2" w:space="0"/>
              <w:right w:val="single" w:color="000000" w:sz="2" w:space="0"/>
            </w:tcBorders>
            <w:vAlign w:val="center"/>
          </w:tcPr>
          <w:p w14:paraId="0D79302C">
            <w:pPr>
              <w:adjustRightInd/>
              <w:snapToGrid w:val="0"/>
              <w:spacing w:before="65" w:after="20" w:afterLines="20" w:line="240" w:lineRule="auto"/>
              <w:ind w:left="0" w:leftChars="0" w:right="0" w:rightChars="0" w:firstLine="0" w:firstLineChars="0"/>
              <w:jc w:val="center"/>
              <w:rPr>
                <w:rFonts w:ascii="仿宋" w:hAnsi="仿宋" w:eastAsia="仿宋" w:cs="仿宋"/>
                <w:b/>
                <w:color w:val="auto"/>
                <w:spacing w:val="0"/>
                <w:sz w:val="28"/>
                <w:szCs w:val="20"/>
              </w:rPr>
            </w:pPr>
            <w:r>
              <w:rPr>
                <w:rFonts w:ascii="仿宋" w:hAnsi="仿宋" w:eastAsia="仿宋" w:cs="仿宋"/>
                <w:b/>
                <w:bCs/>
                <w:color w:val="auto"/>
                <w:spacing w:val="-1"/>
                <w:sz w:val="28"/>
                <w:szCs w:val="20"/>
              </w:rPr>
              <w:t>分类</w:t>
            </w:r>
          </w:p>
        </w:tc>
        <w:tc>
          <w:tcPr>
            <w:tcW w:w="415" w:type="dxa"/>
            <w:tcBorders>
              <w:top w:val="single" w:color="000000" w:sz="2" w:space="0"/>
              <w:left w:val="single" w:color="000000" w:sz="2" w:space="0"/>
              <w:bottom w:val="single" w:color="000000" w:sz="2" w:space="0"/>
              <w:right w:val="single" w:color="000000" w:sz="2" w:space="0"/>
            </w:tcBorders>
            <w:vAlign w:val="center"/>
          </w:tcPr>
          <w:p w14:paraId="0B80758B">
            <w:pPr>
              <w:adjustRightInd/>
              <w:snapToGrid w:val="0"/>
              <w:spacing w:before="151" w:after="20" w:afterLines="20" w:line="240" w:lineRule="auto"/>
              <w:ind w:left="0" w:leftChars="0" w:right="0" w:rightChars="0" w:firstLine="0" w:firstLineChars="0"/>
              <w:jc w:val="both"/>
              <w:rPr>
                <w:rFonts w:ascii="仿宋" w:hAnsi="仿宋" w:eastAsia="仿宋" w:cs="仿宋"/>
                <w:b/>
                <w:color w:val="auto"/>
                <w:spacing w:val="0"/>
                <w:sz w:val="28"/>
                <w:szCs w:val="20"/>
              </w:rPr>
            </w:pPr>
            <w:r>
              <w:rPr>
                <w:rFonts w:ascii="仿宋" w:hAnsi="仿宋" w:eastAsia="仿宋" w:cs="仿宋"/>
                <w:b/>
                <w:bCs/>
                <w:color w:val="auto"/>
                <w:spacing w:val="11"/>
                <w:sz w:val="28"/>
                <w:szCs w:val="20"/>
              </w:rPr>
              <w:t>序</w:t>
            </w:r>
            <w:r>
              <w:rPr>
                <w:rFonts w:hint="eastAsia" w:ascii="仿宋" w:hAnsi="仿宋" w:eastAsia="仿宋" w:cs="仿宋"/>
                <w:b/>
                <w:bCs/>
                <w:color w:val="auto"/>
                <w:spacing w:val="11"/>
                <w:sz w:val="28"/>
                <w:szCs w:val="20"/>
                <w:lang w:val="en-US" w:eastAsia="zh-CN"/>
              </w:rPr>
              <w:t xml:space="preserve"> </w:t>
            </w:r>
            <w:r>
              <w:rPr>
                <w:rFonts w:ascii="仿宋" w:hAnsi="仿宋" w:eastAsia="仿宋" w:cs="仿宋"/>
                <w:b/>
                <w:bCs/>
                <w:color w:val="auto"/>
                <w:spacing w:val="11"/>
                <w:sz w:val="28"/>
                <w:szCs w:val="20"/>
              </w:rPr>
              <w:t>号</w:t>
            </w:r>
          </w:p>
        </w:tc>
        <w:tc>
          <w:tcPr>
            <w:tcW w:w="4036" w:type="dxa"/>
            <w:tcBorders>
              <w:top w:val="single" w:color="000000" w:sz="2" w:space="0"/>
              <w:left w:val="single" w:color="000000" w:sz="2" w:space="0"/>
              <w:bottom w:val="single" w:color="000000" w:sz="2" w:space="0"/>
              <w:right w:val="single" w:color="000000" w:sz="2" w:space="0"/>
            </w:tcBorders>
            <w:vAlign w:val="center"/>
          </w:tcPr>
          <w:p w14:paraId="3B068241">
            <w:pPr>
              <w:adjustRightInd/>
              <w:snapToGrid w:val="0"/>
              <w:spacing w:before="65" w:after="20" w:afterLines="20" w:line="240" w:lineRule="auto"/>
              <w:ind w:left="0" w:leftChars="0" w:right="0" w:rightChars="0" w:firstLine="0" w:firstLineChars="0"/>
              <w:jc w:val="center"/>
              <w:rPr>
                <w:rFonts w:ascii="仿宋" w:hAnsi="仿宋" w:eastAsia="仿宋" w:cs="仿宋"/>
                <w:b/>
                <w:color w:val="auto"/>
                <w:spacing w:val="0"/>
                <w:sz w:val="28"/>
                <w:szCs w:val="20"/>
              </w:rPr>
            </w:pPr>
            <w:r>
              <w:rPr>
                <w:rFonts w:ascii="仿宋" w:hAnsi="仿宋" w:eastAsia="仿宋" w:cs="仿宋"/>
                <w:b/>
                <w:bCs/>
                <w:color w:val="auto"/>
                <w:spacing w:val="5"/>
                <w:sz w:val="28"/>
                <w:szCs w:val="28"/>
              </w:rPr>
              <w:t>指标名称</w:t>
            </w:r>
          </w:p>
        </w:tc>
        <w:tc>
          <w:tcPr>
            <w:tcW w:w="1167" w:type="dxa"/>
            <w:tcBorders>
              <w:top w:val="single" w:color="000000" w:sz="2" w:space="0"/>
              <w:left w:val="single" w:color="000000" w:sz="2" w:space="0"/>
              <w:bottom w:val="single" w:color="000000" w:sz="2" w:space="0"/>
              <w:right w:val="single" w:color="000000" w:sz="2" w:space="0"/>
            </w:tcBorders>
            <w:vAlign w:val="center"/>
          </w:tcPr>
          <w:p w14:paraId="0637ADEB">
            <w:pPr>
              <w:keepNext w:val="0"/>
              <w:keepLines w:val="0"/>
              <w:pageBreakBefore w:val="0"/>
              <w:widowControl w:val="0"/>
              <w:kinsoku/>
              <w:wordWrap/>
              <w:overflowPunct/>
              <w:topLinePunct w:val="0"/>
              <w:autoSpaceDE/>
              <w:autoSpaceDN/>
              <w:bidi w:val="0"/>
              <w:adjustRightInd/>
              <w:snapToGrid w:val="0"/>
              <w:spacing w:before="65" w:after="20" w:afterLines="20" w:line="192" w:lineRule="auto"/>
              <w:ind w:left="0" w:leftChars="0" w:right="0" w:rightChars="0" w:firstLine="0" w:firstLineChars="0"/>
              <w:jc w:val="center"/>
              <w:textAlignment w:val="auto"/>
              <w:rPr>
                <w:rFonts w:ascii="仿宋" w:hAnsi="仿宋" w:eastAsia="仿宋" w:cs="仿宋"/>
                <w:b/>
                <w:bCs/>
                <w:color w:val="auto"/>
                <w:spacing w:val="5"/>
                <w:sz w:val="28"/>
                <w:szCs w:val="28"/>
              </w:rPr>
            </w:pPr>
            <w:r>
              <w:rPr>
                <w:rFonts w:hint="eastAsia" w:ascii="仿宋" w:hAnsi="仿宋" w:eastAsia="仿宋" w:cs="仿宋"/>
                <w:b/>
                <w:bCs/>
                <w:color w:val="auto"/>
                <w:spacing w:val="-1"/>
                <w:sz w:val="28"/>
                <w:szCs w:val="28"/>
                <w:lang w:val="en-US" w:eastAsia="zh-CN"/>
              </w:rPr>
              <w:t>目标值</w:t>
            </w:r>
          </w:p>
        </w:tc>
        <w:tc>
          <w:tcPr>
            <w:tcW w:w="1274" w:type="dxa"/>
            <w:tcBorders>
              <w:top w:val="single" w:color="000000" w:sz="2" w:space="0"/>
              <w:left w:val="single" w:color="000000" w:sz="2" w:space="0"/>
              <w:right w:val="single" w:color="000000" w:sz="2" w:space="0"/>
            </w:tcBorders>
            <w:vAlign w:val="center"/>
          </w:tcPr>
          <w:p w14:paraId="12FC7283">
            <w:pPr>
              <w:keepNext w:val="0"/>
              <w:keepLines w:val="0"/>
              <w:pageBreakBefore w:val="0"/>
              <w:widowControl w:val="0"/>
              <w:kinsoku/>
              <w:wordWrap/>
              <w:overflowPunct/>
              <w:topLinePunct w:val="0"/>
              <w:autoSpaceDE/>
              <w:autoSpaceDN/>
              <w:bidi w:val="0"/>
              <w:adjustRightInd/>
              <w:snapToGrid w:val="0"/>
              <w:spacing w:before="65" w:after="20" w:afterLines="20" w:line="192" w:lineRule="auto"/>
              <w:ind w:left="0" w:leftChars="0" w:right="0" w:rightChars="0" w:firstLine="0" w:firstLineChars="0"/>
              <w:jc w:val="center"/>
              <w:textAlignment w:val="auto"/>
              <w:rPr>
                <w:rFonts w:hint="default" w:ascii="仿宋" w:hAnsi="仿宋" w:eastAsia="仿宋" w:cs="仿宋"/>
                <w:b/>
                <w:bCs/>
                <w:color w:val="auto"/>
                <w:spacing w:val="-1"/>
                <w:sz w:val="28"/>
                <w:szCs w:val="28"/>
                <w:lang w:val="en-US" w:eastAsia="zh-CN"/>
              </w:rPr>
            </w:pPr>
            <w:r>
              <w:rPr>
                <w:rFonts w:hint="eastAsia" w:ascii="仿宋" w:hAnsi="仿宋" w:eastAsia="仿宋" w:cs="仿宋"/>
                <w:b/>
                <w:bCs/>
                <w:color w:val="auto"/>
                <w:spacing w:val="-1"/>
                <w:sz w:val="28"/>
                <w:szCs w:val="28"/>
                <w:lang w:val="en-US" w:eastAsia="zh-CN"/>
              </w:rPr>
              <w:t>属性</w:t>
            </w:r>
          </w:p>
        </w:tc>
        <w:tc>
          <w:tcPr>
            <w:tcW w:w="1560" w:type="dxa"/>
            <w:tcBorders>
              <w:top w:val="single" w:color="000000" w:sz="2" w:space="0"/>
              <w:left w:val="single" w:color="000000" w:sz="2" w:space="0"/>
              <w:bottom w:val="single" w:color="000000" w:sz="2" w:space="0"/>
              <w:right w:val="single" w:color="000000" w:sz="2" w:space="0"/>
            </w:tcBorders>
            <w:vAlign w:val="center"/>
          </w:tcPr>
          <w:p w14:paraId="75ECCA34">
            <w:pPr>
              <w:keepNext w:val="0"/>
              <w:keepLines w:val="0"/>
              <w:pageBreakBefore w:val="0"/>
              <w:widowControl w:val="0"/>
              <w:kinsoku/>
              <w:wordWrap/>
              <w:overflowPunct/>
              <w:topLinePunct w:val="0"/>
              <w:autoSpaceDE/>
              <w:autoSpaceDN/>
              <w:bidi w:val="0"/>
              <w:adjustRightInd/>
              <w:snapToGrid w:val="0"/>
              <w:spacing w:before="65" w:after="20" w:afterLines="20" w:line="192" w:lineRule="auto"/>
              <w:ind w:left="0" w:leftChars="0" w:right="0" w:rightChars="0" w:firstLine="0" w:firstLineChars="0"/>
              <w:jc w:val="center"/>
              <w:textAlignment w:val="auto"/>
              <w:rPr>
                <w:rFonts w:hint="default" w:ascii="仿宋" w:hAnsi="仿宋" w:eastAsia="仿宋" w:cs="仿宋"/>
                <w:b/>
                <w:bCs/>
                <w:color w:val="auto"/>
                <w:spacing w:val="-1"/>
                <w:sz w:val="28"/>
                <w:szCs w:val="28"/>
                <w:lang w:val="en-US" w:eastAsia="zh-CN"/>
              </w:rPr>
            </w:pPr>
            <w:r>
              <w:rPr>
                <w:rFonts w:hint="eastAsia" w:ascii="仿宋" w:hAnsi="仿宋" w:eastAsia="仿宋" w:cs="仿宋"/>
                <w:b/>
                <w:bCs/>
                <w:color w:val="auto"/>
                <w:spacing w:val="-1"/>
                <w:sz w:val="28"/>
                <w:szCs w:val="28"/>
                <w:lang w:val="en-US" w:eastAsia="zh-CN"/>
              </w:rPr>
              <w:t>具体数值</w:t>
            </w:r>
          </w:p>
        </w:tc>
      </w:tr>
      <w:tr w14:paraId="5142C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4" w:hRule="atLeast"/>
          <w:jc w:val="center"/>
        </w:trPr>
        <w:tc>
          <w:tcPr>
            <w:tcW w:w="391" w:type="dxa"/>
            <w:vMerge w:val="restart"/>
            <w:tcBorders>
              <w:top w:val="single" w:color="000000" w:sz="2" w:space="0"/>
              <w:left w:val="single" w:color="000000" w:sz="2" w:space="0"/>
              <w:bottom w:val="single" w:color="000000" w:sz="2" w:space="0"/>
              <w:right w:val="single" w:color="000000" w:sz="2" w:space="0"/>
            </w:tcBorders>
            <w:vAlign w:val="center"/>
          </w:tcPr>
          <w:p w14:paraId="1C448A1B">
            <w:pPr>
              <w:adjustRightInd/>
              <w:snapToGrid w:val="0"/>
              <w:spacing w:before="65" w:after="20" w:afterLines="20" w:line="240" w:lineRule="auto"/>
              <w:ind w:left="0" w:leftChars="0" w:right="0" w:rightChars="0" w:firstLine="0" w:firstLineChars="0"/>
              <w:jc w:val="center"/>
              <w:rPr>
                <w:rFonts w:ascii="仿宋" w:hAnsi="仿宋" w:eastAsia="仿宋" w:cs="仿宋"/>
                <w:color w:val="auto"/>
                <w:spacing w:val="-5"/>
                <w:sz w:val="24"/>
                <w:szCs w:val="20"/>
              </w:rPr>
            </w:pPr>
            <w:r>
              <w:rPr>
                <w:rFonts w:ascii="仿宋" w:hAnsi="仿宋" w:eastAsia="仿宋" w:cs="仿宋"/>
                <w:color w:val="auto"/>
                <w:spacing w:val="-5"/>
                <w:sz w:val="24"/>
                <w:szCs w:val="20"/>
              </w:rPr>
              <w:t>防</w:t>
            </w:r>
          </w:p>
          <w:p w14:paraId="64EDD8C9">
            <w:pPr>
              <w:adjustRightInd/>
              <w:snapToGrid w:val="0"/>
              <w:spacing w:before="65" w:after="20" w:afterLines="20" w:line="240" w:lineRule="auto"/>
              <w:ind w:left="0" w:leftChars="0" w:right="0" w:rightChars="0" w:firstLine="0" w:firstLineChars="0"/>
              <w:jc w:val="center"/>
              <w:rPr>
                <w:rFonts w:ascii="仿宋" w:hAnsi="仿宋" w:eastAsia="仿宋" w:cs="仿宋"/>
                <w:color w:val="auto"/>
                <w:spacing w:val="-5"/>
                <w:sz w:val="24"/>
                <w:szCs w:val="20"/>
              </w:rPr>
            </w:pPr>
            <w:r>
              <w:rPr>
                <w:rFonts w:ascii="仿宋" w:hAnsi="仿宋" w:eastAsia="仿宋" w:cs="仿宋"/>
                <w:color w:val="auto"/>
                <w:spacing w:val="-5"/>
                <w:sz w:val="24"/>
                <w:szCs w:val="20"/>
              </w:rPr>
              <w:t>灾</w:t>
            </w:r>
          </w:p>
          <w:p w14:paraId="009767F0">
            <w:pPr>
              <w:adjustRightInd/>
              <w:snapToGrid w:val="0"/>
              <w:spacing w:before="87" w:after="20" w:afterLines="20" w:line="240" w:lineRule="auto"/>
              <w:ind w:left="0" w:leftChars="0" w:right="0" w:rightChars="0" w:firstLine="0" w:firstLineChars="0"/>
              <w:jc w:val="center"/>
              <w:rPr>
                <w:rFonts w:ascii="仿宋" w:hAnsi="仿宋" w:eastAsia="仿宋" w:cs="仿宋"/>
                <w:color w:val="auto"/>
                <w:spacing w:val="1"/>
                <w:sz w:val="24"/>
                <w:szCs w:val="20"/>
              </w:rPr>
            </w:pPr>
            <w:r>
              <w:rPr>
                <w:rFonts w:ascii="仿宋" w:hAnsi="仿宋" w:eastAsia="仿宋" w:cs="仿宋"/>
                <w:color w:val="auto"/>
                <w:spacing w:val="1"/>
                <w:sz w:val="24"/>
                <w:szCs w:val="20"/>
              </w:rPr>
              <w:t>减</w:t>
            </w:r>
          </w:p>
          <w:p w14:paraId="1E375D7E">
            <w:pPr>
              <w:adjustRightInd/>
              <w:snapToGrid w:val="0"/>
              <w:spacing w:before="87" w:after="20" w:afterLines="20" w:line="240" w:lineRule="auto"/>
              <w:ind w:left="0" w:leftChars="0" w:right="0" w:rightChars="0" w:firstLine="0" w:firstLineChars="0"/>
              <w:jc w:val="center"/>
              <w:rPr>
                <w:rFonts w:ascii="仿宋" w:hAnsi="仿宋" w:eastAsia="仿宋" w:cs="仿宋"/>
                <w:color w:val="auto"/>
                <w:spacing w:val="0"/>
                <w:sz w:val="24"/>
                <w:szCs w:val="20"/>
              </w:rPr>
            </w:pPr>
            <w:r>
              <w:rPr>
                <w:rFonts w:ascii="仿宋" w:hAnsi="仿宋" w:eastAsia="仿宋" w:cs="仿宋"/>
                <w:color w:val="auto"/>
                <w:spacing w:val="1"/>
                <w:sz w:val="24"/>
                <w:szCs w:val="20"/>
              </w:rPr>
              <w:t>灾</w:t>
            </w:r>
          </w:p>
        </w:tc>
        <w:tc>
          <w:tcPr>
            <w:tcW w:w="415" w:type="dxa"/>
            <w:tcBorders>
              <w:top w:val="single" w:color="000000" w:sz="2" w:space="0"/>
              <w:left w:val="single" w:color="000000" w:sz="2" w:space="0"/>
              <w:bottom w:val="single" w:color="000000" w:sz="2" w:space="0"/>
              <w:right w:val="single" w:color="000000" w:sz="2" w:space="0"/>
            </w:tcBorders>
            <w:vAlign w:val="center"/>
          </w:tcPr>
          <w:p w14:paraId="148A5E4F">
            <w:pPr>
              <w:adjustRightInd/>
              <w:snapToGrid w:val="0"/>
              <w:spacing w:before="57" w:after="20" w:afterLines="20" w:line="240" w:lineRule="auto"/>
              <w:ind w:left="0" w:leftChars="0" w:right="0" w:rightChars="0" w:firstLine="0" w:firstLineChars="0"/>
              <w:jc w:val="center"/>
              <w:rPr>
                <w:rFonts w:ascii="仿宋" w:hAnsi="Times New Roman" w:eastAsia="仿宋" w:cs="Times New Roman"/>
                <w:color w:val="auto"/>
                <w:spacing w:val="0"/>
                <w:sz w:val="24"/>
                <w:szCs w:val="20"/>
              </w:rPr>
            </w:pPr>
            <w:r>
              <w:rPr>
                <w:rFonts w:ascii="仿宋" w:hAnsi="Times New Roman" w:eastAsia="仿宋" w:cs="Times New Roman"/>
                <w:color w:val="auto"/>
                <w:spacing w:val="0"/>
                <w:sz w:val="24"/>
                <w:szCs w:val="20"/>
              </w:rPr>
              <w:t>1</w:t>
            </w:r>
          </w:p>
        </w:tc>
        <w:tc>
          <w:tcPr>
            <w:tcW w:w="4036" w:type="dxa"/>
            <w:tcBorders>
              <w:top w:val="single" w:color="000000" w:sz="2" w:space="0"/>
              <w:left w:val="single" w:color="000000" w:sz="2" w:space="0"/>
              <w:bottom w:val="single" w:color="000000" w:sz="2" w:space="0"/>
              <w:right w:val="single" w:color="000000" w:sz="2" w:space="0"/>
            </w:tcBorders>
            <w:vAlign w:val="center"/>
          </w:tcPr>
          <w:p w14:paraId="547C2C6A">
            <w:pPr>
              <w:adjustRightInd/>
              <w:snapToGrid w:val="0"/>
              <w:spacing w:before="57" w:after="20" w:afterLines="20" w:line="240" w:lineRule="auto"/>
              <w:ind w:left="0" w:leftChars="0" w:right="0" w:rightChars="0" w:firstLine="0" w:firstLineChars="0"/>
              <w:jc w:val="both"/>
              <w:rPr>
                <w:rFonts w:hint="eastAsia" w:ascii="仿宋" w:hAnsi="仿宋" w:eastAsia="仿宋" w:cs="仿宋"/>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rPr>
              <w:t>年均每</w:t>
            </w:r>
            <w:r>
              <w:rPr>
                <w:rFonts w:hint="eastAsia" w:cs="仿宋"/>
                <w:snapToGrid w:val="0"/>
                <w:color w:val="auto"/>
                <w:spacing w:val="13"/>
                <w:kern w:val="0"/>
                <w:sz w:val="24"/>
                <w:szCs w:val="24"/>
                <w:lang w:val="en-US" w:eastAsia="zh-CN"/>
              </w:rPr>
              <w:t>十</w:t>
            </w:r>
            <w:r>
              <w:rPr>
                <w:rFonts w:hint="eastAsia" w:ascii="仿宋" w:hAnsi="仿宋" w:eastAsia="仿宋" w:cs="仿宋"/>
                <w:snapToGrid w:val="0"/>
                <w:color w:val="auto"/>
                <w:spacing w:val="13"/>
                <w:kern w:val="0"/>
                <w:sz w:val="24"/>
                <w:szCs w:val="24"/>
                <w:lang w:val="en-US" w:eastAsia="zh-CN"/>
              </w:rPr>
              <w:t>万人口因自然灾害死亡率</w:t>
            </w:r>
          </w:p>
        </w:tc>
        <w:tc>
          <w:tcPr>
            <w:tcW w:w="116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C12ABE9">
            <w:pPr>
              <w:adjustRightInd/>
              <w:snapToGrid w:val="0"/>
              <w:spacing w:before="57" w:after="20" w:afterLines="20" w:line="240" w:lineRule="auto"/>
              <w:ind w:left="0" w:leftChars="0" w:right="0" w:rightChars="0" w:firstLine="0" w:firstLineChars="0"/>
              <w:jc w:val="center"/>
              <w:rPr>
                <w:rFonts w:hint="default" w:ascii="仿宋" w:hAnsi="仿宋" w:eastAsia="仿宋" w:cs="仿宋"/>
                <w:snapToGrid w:val="0"/>
                <w:color w:val="auto"/>
                <w:spacing w:val="13"/>
                <w:kern w:val="0"/>
                <w:sz w:val="24"/>
                <w:szCs w:val="24"/>
                <w:lang w:val="en-US" w:eastAsia="zh-CN"/>
              </w:rPr>
            </w:pPr>
            <w:r>
              <w:rPr>
                <w:rFonts w:hint="eastAsia" w:ascii="仿宋" w:hAnsi="Times New Roman" w:eastAsia="仿宋" w:cs="Times New Roman"/>
                <w:color w:val="auto"/>
                <w:spacing w:val="0"/>
                <w:sz w:val="24"/>
                <w:szCs w:val="20"/>
                <w:lang w:val="en-US" w:eastAsia="zh-CN"/>
              </w:rPr>
              <w:t>0%</w:t>
            </w:r>
          </w:p>
        </w:tc>
        <w:tc>
          <w:tcPr>
            <w:tcW w:w="127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A99DCB8">
            <w:pPr>
              <w:adjustRightInd/>
              <w:snapToGrid w:val="0"/>
              <w:spacing w:before="57" w:after="20" w:afterLines="20" w:line="240" w:lineRule="auto"/>
              <w:ind w:left="0" w:leftChars="0" w:right="0" w:rightChars="0" w:firstLine="0" w:firstLineChars="0"/>
              <w:jc w:val="center"/>
              <w:rPr>
                <w:rFonts w:hint="default" w:ascii="仿宋" w:hAnsi="仿宋" w:eastAsia="仿宋" w:cs="仿宋"/>
                <w:snapToGrid w:val="0"/>
                <w:color w:val="auto"/>
                <w:spacing w:val="13"/>
                <w:kern w:val="0"/>
                <w:sz w:val="24"/>
                <w:szCs w:val="24"/>
                <w:lang w:val="en-US" w:eastAsia="zh-CN"/>
              </w:rPr>
            </w:pPr>
            <w:r>
              <w:rPr>
                <w:rFonts w:hint="eastAsia" w:ascii="仿宋" w:hAnsi="Times New Roman" w:eastAsia="仿宋" w:cs="Times New Roman"/>
                <w:color w:val="auto"/>
                <w:spacing w:val="0"/>
                <w:sz w:val="24"/>
                <w:szCs w:val="20"/>
                <w:lang w:val="en-US" w:eastAsia="zh-CN"/>
              </w:rPr>
              <w:t>约束性</w:t>
            </w:r>
          </w:p>
        </w:tc>
        <w:tc>
          <w:tcPr>
            <w:tcW w:w="15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428EDF7">
            <w:pPr>
              <w:adjustRightInd/>
              <w:snapToGrid w:val="0"/>
              <w:spacing w:before="57" w:after="20" w:afterLines="20" w:line="240" w:lineRule="auto"/>
              <w:ind w:left="0" w:leftChars="0" w:right="0" w:rightChars="0" w:firstLine="0" w:firstLineChars="0"/>
              <w:jc w:val="center"/>
              <w:rPr>
                <w:rFonts w:hint="default" w:ascii="仿宋" w:hAnsi="仿宋" w:eastAsia="仿宋" w:cs="仿宋"/>
                <w:snapToGrid w:val="0"/>
                <w:color w:val="auto"/>
                <w:spacing w:val="13"/>
                <w:kern w:val="0"/>
                <w:sz w:val="24"/>
                <w:szCs w:val="24"/>
                <w:lang w:val="en-US" w:eastAsia="zh-CN"/>
              </w:rPr>
            </w:pPr>
            <w:r>
              <w:rPr>
                <w:rFonts w:hint="eastAsia" w:ascii="仿宋" w:hAnsi="Times New Roman" w:eastAsia="仿宋" w:cs="Times New Roman"/>
                <w:color w:val="auto"/>
                <w:spacing w:val="0"/>
                <w:sz w:val="24"/>
                <w:szCs w:val="20"/>
                <w:lang w:val="en-US" w:eastAsia="zh-CN"/>
              </w:rPr>
              <w:t>0%</w:t>
            </w:r>
          </w:p>
        </w:tc>
      </w:tr>
      <w:tr w14:paraId="36BFF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4" w:hRule="atLeast"/>
          <w:jc w:val="center"/>
        </w:trPr>
        <w:tc>
          <w:tcPr>
            <w:tcW w:w="391" w:type="dxa"/>
            <w:vMerge w:val="continue"/>
            <w:tcBorders>
              <w:top w:val="single" w:color="000000" w:sz="2" w:space="0"/>
              <w:left w:val="single" w:color="000000" w:sz="2" w:space="0"/>
              <w:bottom w:val="single" w:color="000000" w:sz="2" w:space="0"/>
              <w:right w:val="single" w:color="000000" w:sz="2" w:space="0"/>
            </w:tcBorders>
            <w:vAlign w:val="center"/>
          </w:tcPr>
          <w:p w14:paraId="30AC83C9">
            <w:pPr>
              <w:widowControl w:val="0"/>
              <w:snapToGrid w:val="0"/>
              <w:spacing w:after="20" w:afterLines="20" w:line="240" w:lineRule="auto"/>
              <w:ind w:left="0" w:leftChars="0" w:right="0" w:rightChars="0" w:firstLine="0" w:firstLineChars="0"/>
              <w:jc w:val="center"/>
              <w:rPr>
                <w:rFonts w:ascii="仿宋" w:hAnsi="Arial" w:eastAsia="仿宋" w:cs="Arial"/>
                <w:color w:val="auto"/>
                <w:kern w:val="2"/>
                <w:sz w:val="24"/>
                <w:szCs w:val="21"/>
                <w:lang w:val="en-US" w:eastAsia="en-US" w:bidi="ar-SA"/>
              </w:rPr>
            </w:pPr>
          </w:p>
        </w:tc>
        <w:tc>
          <w:tcPr>
            <w:tcW w:w="415" w:type="dxa"/>
            <w:tcBorders>
              <w:top w:val="single" w:color="000000" w:sz="2" w:space="0"/>
              <w:left w:val="single" w:color="000000" w:sz="2" w:space="0"/>
              <w:bottom w:val="single" w:color="000000" w:sz="2" w:space="0"/>
              <w:right w:val="single" w:color="000000" w:sz="2" w:space="0"/>
            </w:tcBorders>
            <w:vAlign w:val="center"/>
          </w:tcPr>
          <w:p w14:paraId="64EB2F53">
            <w:pPr>
              <w:adjustRightInd/>
              <w:snapToGrid w:val="0"/>
              <w:spacing w:before="57" w:after="20" w:afterLines="20" w:line="240" w:lineRule="auto"/>
              <w:ind w:left="0" w:leftChars="0" w:right="0" w:rightChars="0" w:firstLine="0" w:firstLineChars="0"/>
              <w:jc w:val="center"/>
              <w:rPr>
                <w:rFonts w:ascii="仿宋" w:hAnsi="Times New Roman" w:eastAsia="仿宋" w:cs="Times New Roman"/>
                <w:color w:val="auto"/>
                <w:spacing w:val="0"/>
                <w:sz w:val="24"/>
                <w:szCs w:val="20"/>
              </w:rPr>
            </w:pPr>
            <w:r>
              <w:rPr>
                <w:rFonts w:ascii="仿宋" w:hAnsi="Times New Roman" w:eastAsia="仿宋" w:cs="Times New Roman"/>
                <w:color w:val="auto"/>
                <w:spacing w:val="0"/>
                <w:sz w:val="24"/>
                <w:szCs w:val="20"/>
              </w:rPr>
              <w:t>2</w:t>
            </w:r>
          </w:p>
        </w:tc>
        <w:tc>
          <w:tcPr>
            <w:tcW w:w="4036" w:type="dxa"/>
            <w:tcBorders>
              <w:top w:val="single" w:color="000000" w:sz="2" w:space="0"/>
              <w:left w:val="single" w:color="000000" w:sz="2" w:space="0"/>
              <w:bottom w:val="single" w:color="000000" w:sz="2" w:space="0"/>
              <w:right w:val="single" w:color="000000" w:sz="2" w:space="0"/>
            </w:tcBorders>
            <w:vAlign w:val="top"/>
          </w:tcPr>
          <w:p w14:paraId="4DA8EB07">
            <w:pPr>
              <w:adjustRightInd w:val="0"/>
              <w:snapToGrid w:val="0"/>
              <w:spacing w:before="273" w:after="0" w:afterLines="-2147483648" w:line="228" w:lineRule="auto"/>
              <w:ind w:left="0" w:leftChars="0" w:firstLine="0" w:firstLineChars="0"/>
              <w:jc w:val="both"/>
              <w:rPr>
                <w:rFonts w:hint="eastAsia" w:ascii="仿宋" w:hAnsi="Times New Roman" w:eastAsia="仿宋" w:cs="Times New Roman"/>
                <w:color w:val="auto"/>
                <w:spacing w:val="0"/>
                <w:sz w:val="24"/>
                <w:szCs w:val="20"/>
                <w:lang w:val="en-US" w:eastAsia="zh-CN"/>
              </w:rPr>
            </w:pPr>
            <w:r>
              <w:rPr>
                <w:rFonts w:hint="eastAsia" w:ascii="仿宋" w:hAnsi="仿宋" w:eastAsia="仿宋" w:cs="仿宋"/>
                <w:snapToGrid w:val="0"/>
                <w:color w:val="auto"/>
                <w:spacing w:val="13"/>
                <w:kern w:val="0"/>
                <w:sz w:val="24"/>
                <w:szCs w:val="24"/>
                <w:lang w:val="en-US" w:eastAsia="zh-CN"/>
              </w:rPr>
              <w:t>灾害发生后受灾群众基本生活得到有效救助时间</w:t>
            </w:r>
          </w:p>
        </w:tc>
        <w:tc>
          <w:tcPr>
            <w:tcW w:w="116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6C58C2D">
            <w:pPr>
              <w:adjustRightInd w:val="0"/>
              <w:snapToGrid w:val="0"/>
              <w:spacing w:before="273" w:after="0" w:afterLines="-2147483648" w:line="228" w:lineRule="auto"/>
              <w:ind w:left="0" w:leftChars="0" w:firstLine="0" w:firstLineChars="0"/>
              <w:jc w:val="center"/>
              <w:rPr>
                <w:rFonts w:hint="default" w:ascii="仿宋" w:hAnsi="Times New Roman" w:eastAsia="仿宋" w:cs="Times New Roman"/>
                <w:color w:val="auto"/>
                <w:spacing w:val="0"/>
                <w:sz w:val="24"/>
                <w:szCs w:val="20"/>
                <w:lang w:val="en-US" w:eastAsia="zh-CN"/>
              </w:rPr>
            </w:pPr>
            <w:r>
              <w:rPr>
                <w:rFonts w:hint="eastAsia" w:ascii="仿宋" w:hAnsi="仿宋" w:eastAsia="仿宋" w:cs="仿宋"/>
                <w:snapToGrid w:val="0"/>
                <w:color w:val="auto"/>
                <w:spacing w:val="13"/>
                <w:kern w:val="0"/>
                <w:sz w:val="24"/>
                <w:szCs w:val="24"/>
                <w:lang w:val="en-US" w:eastAsia="zh-CN"/>
              </w:rPr>
              <w:t>&lt;</w:t>
            </w:r>
            <w:r>
              <w:rPr>
                <w:rFonts w:hint="eastAsia" w:ascii="Times New Roman" w:hAnsi="Times New Roman" w:eastAsia="仿宋" w:cs="Times New Roman"/>
                <w:snapToGrid w:val="0"/>
                <w:color w:val="auto"/>
                <w:spacing w:val="13"/>
                <w:kern w:val="0"/>
                <w:sz w:val="24"/>
                <w:szCs w:val="24"/>
                <w:lang w:val="en-US" w:eastAsia="zh-CN"/>
              </w:rPr>
              <w:t>10</w:t>
            </w:r>
            <w:r>
              <w:rPr>
                <w:rFonts w:hint="eastAsia" w:ascii="仿宋" w:hAnsi="仿宋" w:eastAsia="仿宋" w:cs="仿宋"/>
                <w:snapToGrid w:val="0"/>
                <w:color w:val="auto"/>
                <w:spacing w:val="13"/>
                <w:kern w:val="0"/>
                <w:sz w:val="24"/>
                <w:szCs w:val="24"/>
                <w:lang w:val="en-US" w:eastAsia="zh-CN"/>
              </w:rPr>
              <w:t>小时</w:t>
            </w:r>
          </w:p>
        </w:tc>
        <w:tc>
          <w:tcPr>
            <w:tcW w:w="127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027F3CC">
            <w:pPr>
              <w:adjustRightInd w:val="0"/>
              <w:snapToGrid w:val="0"/>
              <w:spacing w:before="273" w:after="0" w:afterLines="-2147483648" w:line="228" w:lineRule="auto"/>
              <w:ind w:left="0" w:leftChars="0" w:firstLine="0" w:firstLineChars="0"/>
              <w:jc w:val="center"/>
              <w:rPr>
                <w:rFonts w:hint="eastAsia" w:ascii="仿宋" w:hAnsi="Times New Roman" w:eastAsia="仿宋" w:cs="Times New Roman"/>
                <w:color w:val="auto"/>
                <w:spacing w:val="0"/>
                <w:sz w:val="24"/>
                <w:szCs w:val="20"/>
                <w:lang w:val="en-US" w:eastAsia="zh-CN"/>
              </w:rPr>
            </w:pPr>
            <w:r>
              <w:rPr>
                <w:rFonts w:hint="eastAsia" w:ascii="仿宋" w:hAnsi="仿宋" w:eastAsia="仿宋" w:cs="仿宋"/>
                <w:snapToGrid w:val="0"/>
                <w:color w:val="auto"/>
                <w:spacing w:val="13"/>
                <w:kern w:val="0"/>
                <w:sz w:val="24"/>
                <w:szCs w:val="24"/>
                <w:lang w:val="en-US" w:eastAsia="zh-CN"/>
              </w:rPr>
              <w:t>预期值</w:t>
            </w:r>
          </w:p>
        </w:tc>
        <w:tc>
          <w:tcPr>
            <w:tcW w:w="15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5B21557">
            <w:pPr>
              <w:adjustRightInd w:val="0"/>
              <w:snapToGrid w:val="0"/>
              <w:spacing w:before="273" w:after="0" w:afterLines="-2147483648" w:line="228" w:lineRule="auto"/>
              <w:ind w:left="0" w:leftChars="0" w:firstLine="0" w:firstLineChars="0"/>
              <w:jc w:val="center"/>
              <w:rPr>
                <w:rFonts w:hint="default" w:ascii="仿宋" w:hAnsi="Times New Roman" w:eastAsia="仿宋" w:cs="Times New Roman"/>
                <w:color w:val="auto"/>
                <w:spacing w:val="0"/>
                <w:sz w:val="24"/>
                <w:szCs w:val="20"/>
                <w:lang w:val="en-US" w:eastAsia="zh-CN"/>
              </w:rPr>
            </w:pPr>
            <w:r>
              <w:rPr>
                <w:rFonts w:hint="eastAsia" w:ascii="仿宋" w:hAnsi="仿宋" w:eastAsia="仿宋" w:cs="仿宋"/>
                <w:snapToGrid w:val="0"/>
                <w:color w:val="auto"/>
                <w:spacing w:val="13"/>
                <w:kern w:val="0"/>
                <w:sz w:val="24"/>
                <w:szCs w:val="24"/>
                <w:lang w:val="en-US" w:eastAsia="zh-CN"/>
              </w:rPr>
              <w:t>&lt;</w:t>
            </w:r>
            <w:r>
              <w:rPr>
                <w:rFonts w:hint="eastAsia" w:ascii="Times New Roman" w:hAnsi="Times New Roman" w:eastAsia="仿宋" w:cs="Times New Roman"/>
                <w:snapToGrid w:val="0"/>
                <w:color w:val="auto"/>
                <w:spacing w:val="13"/>
                <w:kern w:val="0"/>
                <w:sz w:val="24"/>
                <w:szCs w:val="24"/>
                <w:lang w:val="en-US" w:eastAsia="zh-CN"/>
              </w:rPr>
              <w:t>10</w:t>
            </w:r>
            <w:r>
              <w:rPr>
                <w:rFonts w:hint="eastAsia" w:ascii="仿宋" w:hAnsi="仿宋" w:eastAsia="仿宋" w:cs="仿宋"/>
                <w:snapToGrid w:val="0"/>
                <w:color w:val="auto"/>
                <w:spacing w:val="13"/>
                <w:kern w:val="0"/>
                <w:sz w:val="24"/>
                <w:szCs w:val="24"/>
                <w:lang w:val="en-US" w:eastAsia="zh-CN"/>
              </w:rPr>
              <w:t>小时</w:t>
            </w:r>
          </w:p>
        </w:tc>
      </w:tr>
      <w:tr w14:paraId="5EF5D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4" w:hRule="atLeast"/>
          <w:jc w:val="center"/>
        </w:trPr>
        <w:tc>
          <w:tcPr>
            <w:tcW w:w="391" w:type="dxa"/>
            <w:vMerge w:val="continue"/>
            <w:tcBorders>
              <w:top w:val="single" w:color="000000" w:sz="2" w:space="0"/>
              <w:left w:val="single" w:color="000000" w:sz="2" w:space="0"/>
              <w:bottom w:val="single" w:color="000000" w:sz="2" w:space="0"/>
              <w:right w:val="single" w:color="000000" w:sz="2" w:space="0"/>
            </w:tcBorders>
            <w:vAlign w:val="center"/>
          </w:tcPr>
          <w:p w14:paraId="2F70BDC1">
            <w:pPr>
              <w:widowControl w:val="0"/>
              <w:snapToGrid w:val="0"/>
              <w:spacing w:after="20" w:afterLines="20" w:line="240" w:lineRule="auto"/>
              <w:ind w:left="0" w:leftChars="0" w:right="0" w:rightChars="0" w:firstLine="0" w:firstLineChars="0"/>
              <w:jc w:val="center"/>
              <w:rPr>
                <w:rFonts w:ascii="仿宋" w:hAnsi="Arial" w:eastAsia="仿宋" w:cs="Arial"/>
                <w:color w:val="auto"/>
                <w:kern w:val="2"/>
                <w:sz w:val="24"/>
                <w:szCs w:val="21"/>
                <w:lang w:val="en-US" w:eastAsia="en-US" w:bidi="ar-SA"/>
              </w:rPr>
            </w:pPr>
          </w:p>
        </w:tc>
        <w:tc>
          <w:tcPr>
            <w:tcW w:w="415" w:type="dxa"/>
            <w:tcBorders>
              <w:top w:val="single" w:color="000000" w:sz="2" w:space="0"/>
              <w:left w:val="single" w:color="000000" w:sz="2" w:space="0"/>
              <w:bottom w:val="single" w:color="000000" w:sz="2" w:space="0"/>
              <w:right w:val="single" w:color="000000" w:sz="2" w:space="0"/>
            </w:tcBorders>
            <w:vAlign w:val="center"/>
          </w:tcPr>
          <w:p w14:paraId="7CFF2E16">
            <w:pPr>
              <w:adjustRightInd/>
              <w:snapToGrid w:val="0"/>
              <w:spacing w:before="57" w:after="20" w:afterLines="20" w:line="240" w:lineRule="auto"/>
              <w:ind w:left="0" w:leftChars="0" w:right="0" w:rightChars="0" w:firstLine="0" w:firstLineChars="0"/>
              <w:jc w:val="center"/>
              <w:rPr>
                <w:rFonts w:ascii="仿宋" w:hAnsi="Times New Roman" w:eastAsia="仿宋" w:cs="Times New Roman"/>
                <w:color w:val="auto"/>
                <w:spacing w:val="0"/>
                <w:sz w:val="24"/>
                <w:szCs w:val="20"/>
              </w:rPr>
            </w:pPr>
            <w:r>
              <w:rPr>
                <w:rFonts w:ascii="仿宋" w:hAnsi="Times New Roman" w:eastAsia="仿宋" w:cs="Times New Roman"/>
                <w:color w:val="auto"/>
                <w:spacing w:val="0"/>
                <w:sz w:val="24"/>
                <w:szCs w:val="20"/>
              </w:rPr>
              <w:t>3</w:t>
            </w:r>
          </w:p>
        </w:tc>
        <w:tc>
          <w:tcPr>
            <w:tcW w:w="4036" w:type="dxa"/>
            <w:tcBorders>
              <w:top w:val="single" w:color="000000" w:sz="2" w:space="0"/>
              <w:left w:val="single" w:color="000000" w:sz="2" w:space="0"/>
              <w:bottom w:val="single" w:color="000000" w:sz="2" w:space="0"/>
              <w:right w:val="single" w:color="000000" w:sz="2" w:space="0"/>
            </w:tcBorders>
            <w:shd w:val="clear" w:color="auto" w:fill="auto"/>
            <w:vAlign w:val="top"/>
          </w:tcPr>
          <w:p w14:paraId="43F6AE4C">
            <w:pPr>
              <w:adjustRightInd w:val="0"/>
              <w:snapToGrid w:val="0"/>
              <w:spacing w:before="273" w:after="0" w:afterLines="-2147483648" w:line="228" w:lineRule="auto"/>
              <w:ind w:left="0" w:leftChars="0" w:firstLine="0" w:firstLineChars="0"/>
              <w:jc w:val="both"/>
              <w:rPr>
                <w:rFonts w:hint="eastAsia" w:ascii="仿宋" w:hAnsi="仿宋" w:eastAsia="仿宋" w:cs="仿宋"/>
                <w:snapToGrid w:val="0"/>
                <w:color w:val="000000"/>
                <w:spacing w:val="13"/>
                <w:kern w:val="0"/>
                <w:sz w:val="24"/>
                <w:szCs w:val="24"/>
                <w:lang w:val="en-US" w:eastAsia="zh-CN" w:bidi="ar-SA"/>
              </w:rPr>
            </w:pPr>
            <w:r>
              <w:rPr>
                <w:rFonts w:hint="eastAsia" w:ascii="仿宋" w:hAnsi="仿宋" w:eastAsia="仿宋" w:cs="仿宋"/>
                <w:snapToGrid w:val="0"/>
                <w:color w:val="auto"/>
                <w:spacing w:val="13"/>
                <w:kern w:val="0"/>
                <w:sz w:val="24"/>
                <w:szCs w:val="24"/>
                <w:lang w:val="en-US" w:eastAsia="zh-CN"/>
              </w:rPr>
              <w:t>县</w:t>
            </w:r>
            <w:r>
              <w:rPr>
                <w:rFonts w:hint="eastAsia" w:cs="仿宋"/>
                <w:snapToGrid w:val="0"/>
                <w:color w:val="auto"/>
                <w:spacing w:val="13"/>
                <w:kern w:val="0"/>
                <w:sz w:val="24"/>
                <w:szCs w:val="24"/>
                <w:lang w:val="en-US" w:eastAsia="zh-CN"/>
              </w:rPr>
              <w:t>级</w:t>
            </w:r>
            <w:r>
              <w:rPr>
                <w:rFonts w:hint="eastAsia" w:ascii="仿宋" w:hAnsi="仿宋" w:eastAsia="仿宋" w:cs="仿宋"/>
                <w:snapToGrid w:val="0"/>
                <w:color w:val="auto"/>
                <w:spacing w:val="13"/>
                <w:kern w:val="0"/>
                <w:sz w:val="24"/>
                <w:szCs w:val="24"/>
                <w:lang w:val="en-US" w:eastAsia="zh-CN"/>
              </w:rPr>
              <w:t>规范化应急避难场所数量（处）</w:t>
            </w:r>
          </w:p>
        </w:tc>
        <w:tc>
          <w:tcPr>
            <w:tcW w:w="116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A16F2BC">
            <w:pPr>
              <w:adjustRightInd w:val="0"/>
              <w:snapToGrid w:val="0"/>
              <w:spacing w:before="273" w:after="0" w:afterLines="-2147483648" w:line="228" w:lineRule="auto"/>
              <w:ind w:left="0" w:leftChars="0" w:firstLine="0" w:firstLineChars="0"/>
              <w:jc w:val="center"/>
              <w:rPr>
                <w:rFonts w:hint="default" w:ascii="Times New Roman" w:hAnsi="Times New Roman" w:eastAsia="仿宋" w:cs="Times New Roman"/>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bidi="ar-SA"/>
              </w:rPr>
              <w:t>&gt;</w:t>
            </w:r>
            <w:r>
              <w:rPr>
                <w:rFonts w:hint="eastAsia" w:ascii="Times New Roman" w:hAnsi="Times New Roman" w:eastAsia="仿宋" w:cs="Times New Roman"/>
                <w:snapToGrid w:val="0"/>
                <w:color w:val="auto"/>
                <w:spacing w:val="13"/>
                <w:kern w:val="0"/>
                <w:sz w:val="24"/>
                <w:szCs w:val="24"/>
                <w:lang w:val="en-US" w:eastAsia="zh-CN"/>
              </w:rPr>
              <w:t>10</w:t>
            </w:r>
            <w:r>
              <w:rPr>
                <w:rFonts w:hint="eastAsia" w:ascii="Times New Roman" w:hAnsi="Times New Roman" w:cs="Times New Roman"/>
                <w:snapToGrid w:val="0"/>
                <w:color w:val="auto"/>
                <w:spacing w:val="13"/>
                <w:kern w:val="0"/>
                <w:sz w:val="24"/>
                <w:szCs w:val="24"/>
                <w:lang w:val="en-US" w:eastAsia="zh-CN"/>
              </w:rPr>
              <w:t>处</w:t>
            </w:r>
          </w:p>
        </w:tc>
        <w:tc>
          <w:tcPr>
            <w:tcW w:w="127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576D8F0">
            <w:pPr>
              <w:adjustRightInd w:val="0"/>
              <w:snapToGrid w:val="0"/>
              <w:spacing w:before="273" w:after="0" w:afterLines="-2147483648" w:line="228" w:lineRule="auto"/>
              <w:ind w:left="0" w:leftChars="0" w:firstLine="0" w:firstLineChars="0"/>
              <w:jc w:val="center"/>
              <w:rPr>
                <w:rFonts w:hint="eastAsia" w:ascii="仿宋" w:hAnsi="仿宋" w:eastAsia="仿宋" w:cs="仿宋"/>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rPr>
              <w:t>预期值</w:t>
            </w:r>
          </w:p>
        </w:tc>
        <w:tc>
          <w:tcPr>
            <w:tcW w:w="15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465F1A9">
            <w:pPr>
              <w:adjustRightInd w:val="0"/>
              <w:snapToGrid w:val="0"/>
              <w:spacing w:before="273" w:after="0" w:afterLines="-2147483648" w:line="228" w:lineRule="auto"/>
              <w:ind w:left="0" w:leftChars="0" w:firstLine="0" w:firstLineChars="0"/>
              <w:jc w:val="center"/>
              <w:rPr>
                <w:rFonts w:hint="eastAsia" w:ascii="Times New Roman" w:hAnsi="Times New Roman" w:eastAsia="仿宋" w:cs="Times New Roman"/>
                <w:snapToGrid w:val="0"/>
                <w:color w:val="auto"/>
                <w:spacing w:val="13"/>
                <w:kern w:val="0"/>
                <w:sz w:val="24"/>
                <w:szCs w:val="24"/>
                <w:lang w:val="en-US" w:eastAsia="zh-CN"/>
              </w:rPr>
            </w:pPr>
            <w:r>
              <w:rPr>
                <w:rFonts w:hint="eastAsia" w:ascii="Times New Roman" w:hAnsi="Times New Roman" w:eastAsia="仿宋" w:cs="Times New Roman"/>
                <w:snapToGrid w:val="0"/>
                <w:color w:val="auto"/>
                <w:spacing w:val="13"/>
                <w:kern w:val="0"/>
                <w:sz w:val="24"/>
                <w:szCs w:val="24"/>
                <w:lang w:val="en-US" w:eastAsia="zh-CN"/>
              </w:rPr>
              <w:t>1</w:t>
            </w:r>
            <w:r>
              <w:rPr>
                <w:rFonts w:hint="eastAsia" w:ascii="Times New Roman" w:hAnsi="Times New Roman" w:cs="Times New Roman"/>
                <w:snapToGrid w:val="0"/>
                <w:color w:val="auto"/>
                <w:spacing w:val="13"/>
                <w:kern w:val="0"/>
                <w:sz w:val="24"/>
                <w:szCs w:val="24"/>
                <w:lang w:val="en-US" w:eastAsia="zh-CN"/>
              </w:rPr>
              <w:t>2处</w:t>
            </w:r>
          </w:p>
        </w:tc>
      </w:tr>
      <w:tr w14:paraId="725DE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4" w:hRule="atLeast"/>
          <w:jc w:val="center"/>
        </w:trPr>
        <w:tc>
          <w:tcPr>
            <w:tcW w:w="391" w:type="dxa"/>
            <w:vMerge w:val="continue"/>
            <w:tcBorders>
              <w:top w:val="single" w:color="000000" w:sz="2" w:space="0"/>
              <w:left w:val="single" w:color="000000" w:sz="2" w:space="0"/>
              <w:bottom w:val="single" w:color="000000" w:sz="2" w:space="0"/>
              <w:right w:val="single" w:color="000000" w:sz="2" w:space="0"/>
            </w:tcBorders>
            <w:vAlign w:val="center"/>
          </w:tcPr>
          <w:p w14:paraId="01EBF881">
            <w:pPr>
              <w:widowControl w:val="0"/>
              <w:snapToGrid w:val="0"/>
              <w:spacing w:after="20" w:afterLines="20" w:line="240" w:lineRule="auto"/>
              <w:ind w:left="0" w:leftChars="0" w:right="0" w:rightChars="0" w:firstLine="0" w:firstLineChars="0"/>
              <w:jc w:val="center"/>
              <w:rPr>
                <w:rFonts w:ascii="仿宋" w:hAnsi="Arial" w:eastAsia="仿宋" w:cs="Arial"/>
                <w:color w:val="auto"/>
                <w:kern w:val="2"/>
                <w:sz w:val="24"/>
                <w:szCs w:val="21"/>
                <w:lang w:val="en-US" w:eastAsia="en-US" w:bidi="ar-SA"/>
              </w:rPr>
            </w:pPr>
          </w:p>
        </w:tc>
        <w:tc>
          <w:tcPr>
            <w:tcW w:w="415" w:type="dxa"/>
            <w:tcBorders>
              <w:top w:val="single" w:color="000000" w:sz="2" w:space="0"/>
              <w:left w:val="single" w:color="000000" w:sz="2" w:space="0"/>
              <w:bottom w:val="single" w:color="000000" w:sz="2" w:space="0"/>
              <w:right w:val="single" w:color="000000" w:sz="2" w:space="0"/>
            </w:tcBorders>
            <w:vAlign w:val="center"/>
          </w:tcPr>
          <w:p w14:paraId="6DC08D06">
            <w:pPr>
              <w:adjustRightInd/>
              <w:snapToGrid w:val="0"/>
              <w:spacing w:before="57" w:after="20" w:afterLines="20" w:line="240" w:lineRule="auto"/>
              <w:ind w:left="0" w:leftChars="0" w:right="0" w:rightChars="0" w:firstLine="0" w:firstLineChars="0"/>
              <w:jc w:val="center"/>
              <w:rPr>
                <w:rFonts w:ascii="仿宋" w:hAnsi="Times New Roman" w:eastAsia="仿宋" w:cs="Times New Roman"/>
                <w:color w:val="auto"/>
                <w:spacing w:val="0"/>
                <w:sz w:val="24"/>
                <w:szCs w:val="20"/>
              </w:rPr>
            </w:pPr>
            <w:r>
              <w:rPr>
                <w:rFonts w:ascii="仿宋" w:hAnsi="Times New Roman" w:eastAsia="仿宋" w:cs="Times New Roman"/>
                <w:color w:val="auto"/>
                <w:spacing w:val="1"/>
                <w:sz w:val="24"/>
                <w:szCs w:val="20"/>
              </w:rPr>
              <w:t>4</w:t>
            </w:r>
          </w:p>
        </w:tc>
        <w:tc>
          <w:tcPr>
            <w:tcW w:w="4036" w:type="dxa"/>
            <w:tcBorders>
              <w:top w:val="single" w:color="000000" w:sz="2" w:space="0"/>
              <w:left w:val="single" w:color="000000" w:sz="2" w:space="0"/>
              <w:bottom w:val="single" w:color="000000" w:sz="2" w:space="0"/>
              <w:right w:val="single" w:color="000000" w:sz="2" w:space="0"/>
            </w:tcBorders>
            <w:shd w:val="clear" w:color="auto" w:fill="auto"/>
            <w:vAlign w:val="top"/>
          </w:tcPr>
          <w:p w14:paraId="2383EECD">
            <w:pPr>
              <w:adjustRightInd w:val="0"/>
              <w:snapToGrid w:val="0"/>
              <w:spacing w:before="273" w:after="0" w:afterLines="-2147483648" w:line="228" w:lineRule="auto"/>
              <w:ind w:left="0" w:leftChars="0" w:firstLine="0" w:firstLineChars="0"/>
              <w:jc w:val="both"/>
              <w:rPr>
                <w:rFonts w:hint="eastAsia" w:ascii="仿宋" w:hAnsi="仿宋" w:eastAsia="仿宋" w:cs="仿宋"/>
                <w:snapToGrid w:val="0"/>
                <w:color w:val="auto"/>
                <w:spacing w:val="13"/>
                <w:kern w:val="0"/>
                <w:sz w:val="24"/>
                <w:szCs w:val="24"/>
                <w:lang w:val="en-US" w:eastAsia="zh-CN" w:bidi="ar-SA"/>
              </w:rPr>
            </w:pPr>
            <w:r>
              <w:rPr>
                <w:rFonts w:hint="eastAsia" w:ascii="仿宋" w:hAnsi="仿宋" w:eastAsia="仿宋" w:cs="仿宋"/>
                <w:snapToGrid w:val="0"/>
                <w:color w:val="auto"/>
                <w:spacing w:val="13"/>
                <w:kern w:val="0"/>
                <w:sz w:val="24"/>
                <w:szCs w:val="24"/>
                <w:lang w:val="en-US" w:eastAsia="zh-CN"/>
              </w:rPr>
              <w:t>每个城乡社区灾害信息员数量</w:t>
            </w:r>
          </w:p>
        </w:tc>
        <w:tc>
          <w:tcPr>
            <w:tcW w:w="116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3621770">
            <w:pPr>
              <w:adjustRightInd w:val="0"/>
              <w:snapToGrid w:val="0"/>
              <w:spacing w:before="273" w:after="0" w:afterLines="-2147483648" w:line="228" w:lineRule="auto"/>
              <w:ind w:left="0" w:leftChars="0" w:firstLine="0" w:firstLineChars="0"/>
              <w:jc w:val="center"/>
              <w:rPr>
                <w:rFonts w:hint="default" w:ascii="Times New Roman" w:hAnsi="Times New Roman" w:eastAsia="仿宋" w:cs="Times New Roman"/>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bidi="ar-SA"/>
              </w:rPr>
              <w:t>&gt;</w:t>
            </w:r>
            <w:r>
              <w:rPr>
                <w:rFonts w:hint="eastAsia" w:ascii="Times New Roman" w:hAnsi="Times New Roman" w:eastAsia="仿宋" w:cs="Times New Roman"/>
                <w:snapToGrid w:val="0"/>
                <w:color w:val="auto"/>
                <w:spacing w:val="13"/>
                <w:kern w:val="0"/>
                <w:sz w:val="24"/>
                <w:szCs w:val="24"/>
                <w:lang w:val="en-US" w:eastAsia="zh-CN"/>
              </w:rPr>
              <w:t>2</w:t>
            </w:r>
            <w:r>
              <w:rPr>
                <w:rFonts w:hint="eastAsia" w:ascii="Times New Roman" w:hAnsi="Times New Roman" w:cs="Times New Roman"/>
                <w:snapToGrid w:val="0"/>
                <w:color w:val="auto"/>
                <w:spacing w:val="13"/>
                <w:kern w:val="0"/>
                <w:sz w:val="24"/>
                <w:szCs w:val="24"/>
                <w:lang w:val="en-US" w:eastAsia="zh-CN"/>
              </w:rPr>
              <w:t>人</w:t>
            </w:r>
          </w:p>
        </w:tc>
        <w:tc>
          <w:tcPr>
            <w:tcW w:w="1274"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BFC1A23">
            <w:pPr>
              <w:adjustRightInd w:val="0"/>
              <w:snapToGrid w:val="0"/>
              <w:spacing w:before="273" w:after="0" w:afterLines="-2147483648" w:line="228" w:lineRule="auto"/>
              <w:ind w:left="0" w:leftChars="0" w:firstLine="0" w:firstLineChars="0"/>
              <w:jc w:val="center"/>
              <w:rPr>
                <w:rFonts w:hint="eastAsia" w:ascii="仿宋" w:hAnsi="仿宋" w:eastAsia="仿宋" w:cs="仿宋"/>
                <w:snapToGrid w:val="0"/>
                <w:color w:val="auto"/>
                <w:spacing w:val="13"/>
                <w:kern w:val="0"/>
                <w:sz w:val="24"/>
                <w:szCs w:val="24"/>
                <w:lang w:val="en-US" w:eastAsia="zh-CN"/>
              </w:rPr>
            </w:pPr>
            <w:r>
              <w:rPr>
                <w:rFonts w:hint="eastAsia" w:ascii="仿宋" w:hAnsi="仿宋" w:eastAsia="仿宋" w:cs="仿宋"/>
                <w:snapToGrid w:val="0"/>
                <w:color w:val="auto"/>
                <w:spacing w:val="13"/>
                <w:kern w:val="0"/>
                <w:sz w:val="24"/>
                <w:szCs w:val="24"/>
                <w:lang w:val="en-US" w:eastAsia="zh-CN"/>
              </w:rPr>
              <w:t>预期值</w:t>
            </w:r>
          </w:p>
        </w:tc>
        <w:tc>
          <w:tcPr>
            <w:tcW w:w="156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E0589C1">
            <w:pPr>
              <w:adjustRightInd w:val="0"/>
              <w:snapToGrid w:val="0"/>
              <w:spacing w:before="273" w:after="0" w:afterLines="-2147483648" w:line="228" w:lineRule="auto"/>
              <w:ind w:left="0" w:leftChars="0" w:firstLine="0" w:firstLineChars="0"/>
              <w:jc w:val="center"/>
              <w:rPr>
                <w:rFonts w:hint="default" w:ascii="Times New Roman" w:hAnsi="Times New Roman" w:eastAsia="仿宋" w:cs="Times New Roman"/>
                <w:snapToGrid w:val="0"/>
                <w:color w:val="auto"/>
                <w:spacing w:val="13"/>
                <w:kern w:val="0"/>
                <w:sz w:val="24"/>
                <w:szCs w:val="24"/>
                <w:lang w:val="en-US" w:eastAsia="zh-CN"/>
              </w:rPr>
            </w:pPr>
            <w:r>
              <w:rPr>
                <w:rFonts w:hint="eastAsia" w:ascii="Times New Roman" w:hAnsi="Times New Roman" w:eastAsia="仿宋" w:cs="Times New Roman"/>
                <w:snapToGrid w:val="0"/>
                <w:color w:val="auto"/>
                <w:spacing w:val="13"/>
                <w:kern w:val="0"/>
                <w:sz w:val="24"/>
                <w:szCs w:val="24"/>
                <w:lang w:val="en-US" w:eastAsia="zh-CN"/>
              </w:rPr>
              <w:t>3</w:t>
            </w:r>
            <w:r>
              <w:rPr>
                <w:rFonts w:hint="eastAsia" w:ascii="Times New Roman" w:hAnsi="Times New Roman" w:cs="Times New Roman"/>
                <w:snapToGrid w:val="0"/>
                <w:color w:val="auto"/>
                <w:spacing w:val="13"/>
                <w:kern w:val="0"/>
                <w:sz w:val="24"/>
                <w:szCs w:val="24"/>
                <w:lang w:val="en-US" w:eastAsia="zh-CN"/>
              </w:rPr>
              <w:t>人</w:t>
            </w:r>
          </w:p>
        </w:tc>
      </w:tr>
    </w:tbl>
    <w:p w14:paraId="0BB250DE">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76" w:lineRule="exact"/>
        <w:ind w:right="0" w:firstLine="0" w:firstLineChars="0"/>
        <w:jc w:val="center"/>
        <w:textAlignment w:val="baseline"/>
        <w:outlineLvl w:val="0"/>
        <w:rPr>
          <w:rFonts w:hint="eastAsia" w:ascii="黑体" w:hAnsi="黑体" w:eastAsia="黑体" w:cs="黑体"/>
          <w:snapToGrid w:val="0"/>
          <w:color w:val="000000"/>
          <w:spacing w:val="4"/>
          <w:kern w:val="0"/>
          <w:position w:val="1"/>
          <w:sz w:val="32"/>
          <w:szCs w:val="32"/>
          <w:lang w:val="en-US" w:eastAsia="zh-CN"/>
        </w:rPr>
      </w:pPr>
      <w:r>
        <w:rPr>
          <w:rFonts w:hint="eastAsia" w:ascii="黑体" w:hAnsi="黑体" w:eastAsia="黑体" w:cs="黑体"/>
          <w:snapToGrid w:val="0"/>
          <w:color w:val="000000"/>
          <w:spacing w:val="4"/>
          <w:kern w:val="0"/>
          <w:position w:val="1"/>
          <w:sz w:val="32"/>
          <w:szCs w:val="32"/>
          <w:lang w:val="en-US" w:eastAsia="zh-CN"/>
        </w:rPr>
        <w:t>　　</w:t>
      </w:r>
    </w:p>
    <w:p w14:paraId="1324027A">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center"/>
        <w:textAlignment w:val="baseline"/>
        <w:outlineLvl w:val="9"/>
        <w:rPr>
          <w:rFonts w:hint="default" w:ascii="黑体" w:hAnsi="黑体" w:eastAsia="黑体"/>
          <w:spacing w:val="0"/>
          <w:sz w:val="32"/>
          <w:szCs w:val="32"/>
          <w:lang w:val="en-US" w:eastAsia="zh-CN"/>
        </w:rPr>
      </w:pPr>
      <w:r>
        <w:rPr>
          <w:rFonts w:hint="eastAsia" w:ascii="黑体" w:hAnsi="黑体" w:eastAsia="黑体" w:cs="黑体"/>
          <w:snapToGrid w:val="0"/>
          <w:color w:val="000000"/>
          <w:spacing w:val="4"/>
          <w:kern w:val="0"/>
          <w:position w:val="1"/>
          <w:sz w:val="32"/>
          <w:szCs w:val="32"/>
          <w:lang w:val="en-US" w:eastAsia="zh-CN"/>
        </w:rPr>
        <w:t>第三章 主要任务</w:t>
      </w:r>
    </w:p>
    <w:p w14:paraId="005E7FFB">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center"/>
        <w:textAlignment w:val="baseline"/>
        <w:outlineLvl w:val="9"/>
        <w:rPr>
          <w:rFonts w:hint="eastAsia" w:ascii="楷体" w:hAnsi="楷体" w:eastAsia="楷体" w:cs="楷体"/>
          <w:b/>
          <w:bCs/>
          <w:snapToGrid w:val="0"/>
          <w:color w:val="auto"/>
          <w:spacing w:val="3"/>
          <w:kern w:val="0"/>
          <w:sz w:val="32"/>
          <w:szCs w:val="32"/>
          <w:lang w:val="en-US" w:eastAsia="zh-CN"/>
        </w:rPr>
      </w:pPr>
      <w:r>
        <w:rPr>
          <w:rFonts w:hint="eastAsia" w:ascii="楷体" w:hAnsi="楷体" w:eastAsia="楷体" w:cs="楷体"/>
          <w:b/>
          <w:bCs/>
          <w:snapToGrid w:val="0"/>
          <w:color w:val="auto"/>
          <w:spacing w:val="3"/>
          <w:kern w:val="0"/>
          <w:sz w:val="32"/>
          <w:szCs w:val="32"/>
          <w:lang w:val="en-US" w:eastAsia="zh-CN"/>
        </w:rPr>
        <w:t>　　</w:t>
      </w:r>
      <w:r>
        <w:rPr>
          <w:rFonts w:hint="eastAsia" w:ascii="方正楷体简体" w:hAnsi="方正楷体简体" w:eastAsia="方正楷体简体" w:cs="方正楷体简体"/>
          <w:b/>
          <w:bCs/>
          <w:snapToGrid w:val="0"/>
          <w:color w:val="auto"/>
          <w:spacing w:val="3"/>
          <w:kern w:val="0"/>
          <w:sz w:val="32"/>
          <w:szCs w:val="32"/>
          <w:lang w:val="en-US" w:eastAsia="zh-CN"/>
        </w:rPr>
        <w:t>第一节 推进自然灾害防治体系现代化</w:t>
      </w:r>
    </w:p>
    <w:p w14:paraId="79CEE627">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outlineLvl w:val="9"/>
        <w:rPr>
          <w:rFonts w:hint="eastAsia" w:ascii="仿宋_GB2312" w:hAnsi="仿宋_GB2312" w:eastAsia="仿宋_GB2312" w:cs="仿宋_GB2312"/>
          <w:b w:val="0"/>
          <w:bCs w:val="0"/>
          <w:snapToGrid w:val="0"/>
          <w:color w:val="auto"/>
          <w:spacing w:val="3"/>
          <w:kern w:val="0"/>
          <w:sz w:val="32"/>
          <w:szCs w:val="32"/>
          <w:lang w:val="en-US" w:eastAsia="zh-CN"/>
        </w:rPr>
      </w:pPr>
      <w:r>
        <w:rPr>
          <w:rFonts w:hint="eastAsia" w:ascii="楷体" w:hAnsi="楷体" w:eastAsia="楷体" w:cs="楷体"/>
          <w:b/>
          <w:bCs/>
          <w:snapToGrid w:val="0"/>
          <w:color w:val="auto"/>
          <w:spacing w:val="3"/>
          <w:kern w:val="0"/>
          <w:sz w:val="32"/>
          <w:szCs w:val="32"/>
          <w:lang w:val="en-US" w:eastAsia="zh-CN"/>
        </w:rPr>
        <w:t>　　</w:t>
      </w:r>
      <w:r>
        <w:rPr>
          <w:rFonts w:hint="eastAsia" w:ascii="仿宋_GB2312" w:hAnsi="仿宋_GB2312" w:eastAsia="仿宋_GB2312" w:cs="仿宋_GB2312"/>
          <w:b/>
          <w:bCs/>
          <w:snapToGrid w:val="0"/>
          <w:color w:val="auto"/>
          <w:spacing w:val="3"/>
          <w:kern w:val="0"/>
          <w:sz w:val="32"/>
          <w:szCs w:val="32"/>
          <w:lang w:val="en-US" w:eastAsia="zh-CN"/>
        </w:rPr>
        <w:t>一、健全防灾减灾救灾管理机制</w:t>
      </w:r>
    </w:p>
    <w:p w14:paraId="5523440F">
      <w:pPr>
        <w:keepNext w:val="0"/>
        <w:keepLines w:val="0"/>
        <w:pageBreakBefore w:val="0"/>
        <w:widowControl w:val="0"/>
        <w:kinsoku/>
        <w:wordWrap/>
        <w:overflowPunct/>
        <w:topLinePunct w:val="0"/>
        <w:autoSpaceDE w:val="0"/>
        <w:autoSpaceDN w:val="0"/>
        <w:bidi w:val="0"/>
        <w:adjustRightInd/>
        <w:snapToGrid/>
        <w:spacing w:after="0" w:afterLines="0" w:afterAutospacing="0" w:line="580" w:lineRule="exact"/>
        <w:ind w:right="0" w:firstLine="0" w:firstLineChars="0"/>
        <w:jc w:val="left"/>
        <w:textAlignment w:val="auto"/>
        <w:outlineLvl w:val="9"/>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依据《自治区关于进一步推进防灾减灾救灾体制机制改革的实施意见》要求，全面总结应急管理系统组建以来的经验做法，建立健全灾害防御、监测预警、抢险救援、协调联动、科技支撑、人才保障、基层基础等机制，强化部门间信息互通、资源共享、需求对接、行动协同，在政策、队伍、资源、技术等方面形成防灾减灾救灾合力。</w:t>
      </w:r>
    </w:p>
    <w:p w14:paraId="04B2E6FF">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outlineLvl w:val="9"/>
        <w:rPr>
          <w:rFonts w:hint="eastAsia" w:ascii="仿宋_GB2312" w:hAnsi="仿宋_GB2312" w:eastAsia="仿宋_GB2312" w:cs="仿宋_GB2312"/>
          <w:b w:val="0"/>
          <w:bCs w:val="0"/>
          <w:snapToGrid w:val="0"/>
          <w:color w:val="auto"/>
          <w:spacing w:val="3"/>
          <w:kern w:val="0"/>
          <w:sz w:val="32"/>
          <w:szCs w:val="32"/>
          <w:lang w:val="en-US" w:eastAsia="zh-CN"/>
        </w:rPr>
      </w:pPr>
      <w:r>
        <w:rPr>
          <w:rFonts w:hint="eastAsia" w:ascii="仿宋_GB2312" w:hAnsi="仿宋_GB2312" w:eastAsia="仿宋_GB2312" w:cs="仿宋_GB2312"/>
          <w:b w:val="0"/>
          <w:bCs w:val="0"/>
          <w:snapToGrid w:val="0"/>
          <w:color w:val="auto"/>
          <w:spacing w:val="3"/>
          <w:kern w:val="0"/>
          <w:sz w:val="32"/>
          <w:szCs w:val="32"/>
          <w:lang w:val="en-US" w:eastAsia="zh-CN"/>
        </w:rPr>
        <w:t>　　</w:t>
      </w:r>
    </w:p>
    <w:p w14:paraId="20AF228C">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outlineLvl w:val="9"/>
        <w:rPr>
          <w:rFonts w:hint="eastAsia" w:ascii="仿宋_GB2312" w:hAnsi="仿宋_GB2312" w:eastAsia="仿宋_GB2312" w:cs="仿宋_GB2312"/>
          <w:b w:val="0"/>
          <w:bCs w:val="0"/>
          <w:snapToGrid w:val="0"/>
          <w:color w:val="auto"/>
          <w:spacing w:val="3"/>
          <w:kern w:val="0"/>
          <w:sz w:val="32"/>
          <w:szCs w:val="32"/>
          <w:lang w:val="en-US" w:eastAsia="zh-CN"/>
        </w:rPr>
      </w:pPr>
    </w:p>
    <w:p w14:paraId="25D31725">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outlineLvl w:val="9"/>
        <w:rPr>
          <w:rFonts w:hint="eastAsia" w:ascii="仿宋_GB2312" w:hAnsi="仿宋_GB2312" w:eastAsia="仿宋_GB2312" w:cs="仿宋_GB2312"/>
          <w:b w:val="0"/>
          <w:bCs w:val="0"/>
          <w:snapToGrid w:val="0"/>
          <w:color w:val="auto"/>
          <w:spacing w:val="3"/>
          <w:kern w:val="0"/>
          <w:sz w:val="32"/>
          <w:szCs w:val="32"/>
          <w:lang w:val="en-US" w:eastAsia="zh-CN"/>
        </w:rPr>
      </w:pPr>
      <w:r>
        <w:rPr>
          <w:rFonts w:hint="eastAsia" w:ascii="仿宋_GB2312" w:hAnsi="仿宋_GB2312" w:eastAsia="仿宋_GB2312" w:cs="仿宋_GB2312"/>
          <w:b/>
          <w:bCs/>
          <w:snapToGrid w:val="0"/>
          <w:color w:val="auto"/>
          <w:spacing w:val="3"/>
          <w:kern w:val="0"/>
          <w:sz w:val="32"/>
          <w:szCs w:val="32"/>
          <w:lang w:val="en-US" w:eastAsia="zh-CN"/>
        </w:rPr>
        <w:t>　　二、健全法律法规和预案标准体系</w:t>
      </w:r>
    </w:p>
    <w:p w14:paraId="7ABED78F">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outlineLvl w:val="9"/>
        <w:rPr>
          <w:rFonts w:hint="eastAsia" w:ascii="仿宋_GB2312" w:hAnsi="仿宋_GB2312" w:eastAsia="仿宋_GB2312" w:cs="仿宋_GB2312"/>
          <w:b w:val="0"/>
          <w:bCs w:val="0"/>
          <w:spacing w:val="0"/>
          <w:sz w:val="32"/>
          <w:szCs w:val="32"/>
          <w:lang w:eastAsia="zh-CN"/>
        </w:rPr>
      </w:pPr>
      <w:r>
        <w:rPr>
          <w:rFonts w:hint="eastAsia" w:ascii="仿宋_GB2312" w:hAnsi="仿宋_GB2312" w:eastAsia="仿宋_GB2312" w:cs="仿宋_GB2312"/>
          <w:b w:val="0"/>
          <w:bCs w:val="0"/>
          <w:snapToGrid w:val="0"/>
          <w:color w:val="auto"/>
          <w:spacing w:val="13"/>
          <w:kern w:val="0"/>
          <w:sz w:val="32"/>
          <w:szCs w:val="32"/>
          <w:lang w:val="en-US" w:eastAsia="zh-CN"/>
        </w:rPr>
        <w:t>　　衔接《地质灾害防治条例》《新疆维吾尔自治区地质灾害防治条例》及自治区、地区应急管理规范，梳理县级指挥运行中预警发布、会商研判、响应启动与终止、信息发布等环节的制度缺口，统筹修订配套制度。加大监测预警、风险评估、灾情评估、隐患排查、社区减灾、应急通信、应急装备等标准修订力度，健全我县防灾减灾救灾标准体系。</w:t>
      </w:r>
    </w:p>
    <w:p w14:paraId="5BA0B6EA">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outlineLvl w:val="9"/>
        <w:rPr>
          <w:rFonts w:hint="eastAsia" w:ascii="仿宋_GB2312" w:hAnsi="仿宋_GB2312" w:eastAsia="仿宋_GB2312" w:cs="仿宋_GB2312"/>
          <w:b w:val="0"/>
          <w:bCs w:val="0"/>
          <w:spacing w:val="0"/>
          <w:sz w:val="32"/>
          <w:szCs w:val="32"/>
          <w:lang w:eastAsia="zh-CN"/>
        </w:rPr>
      </w:pPr>
      <w:r>
        <w:rPr>
          <w:rFonts w:hint="eastAsia" w:ascii="仿宋_GB2312" w:hAnsi="仿宋_GB2312" w:eastAsia="仿宋_GB2312" w:cs="仿宋_GB2312"/>
          <w:b w:val="0"/>
          <w:bCs w:val="0"/>
          <w:snapToGrid w:val="0"/>
          <w:color w:val="auto"/>
          <w:spacing w:val="13"/>
          <w:kern w:val="0"/>
          <w:sz w:val="32"/>
          <w:szCs w:val="32"/>
          <w:lang w:val="en-US" w:eastAsia="zh-CN"/>
        </w:rPr>
        <w:t>　　结合修订后的《国家自然灾害救助应急预案》，完善信息报告、部门联动等应急机制，修订《墨玉县自然灾害救助应急预案》；依据《自治区突发事件应急预案管理办法》，健全预案修订、审核、备案等制度，提高预案科学性、针对性与可操作性。对县级总体与专项预案进行规范化、模板化修订，强化情景构建与多灾种联合响应设计，将情景推演结果嵌入预案响应程序，明确不同情景下的分级响应、指挥层级调整与部门联动措施。</w:t>
      </w:r>
    </w:p>
    <w:p w14:paraId="2CDE2AF3">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center"/>
        <w:textAlignment w:val="baseline"/>
        <w:outlineLvl w:val="9"/>
        <w:rPr>
          <w:rFonts w:hint="eastAsia" w:ascii="仿宋_GB2312" w:hAnsi="仿宋_GB2312" w:eastAsia="仿宋_GB2312" w:cs="仿宋_GB2312"/>
          <w:b/>
          <w:bCs/>
          <w:spacing w:val="0"/>
          <w:kern w:val="2"/>
          <w:sz w:val="32"/>
          <w:szCs w:val="32"/>
          <w:lang w:val="en-US" w:eastAsia="zh-CN" w:bidi="ar-SA"/>
        </w:rPr>
      </w:pPr>
      <w:r>
        <w:rPr>
          <w:rFonts w:hint="eastAsia" w:ascii="仿宋_GB2312" w:hAnsi="仿宋_GB2312" w:eastAsia="仿宋_GB2312" w:cs="仿宋_GB2312"/>
          <w:b/>
          <w:bCs/>
          <w:snapToGrid w:val="0"/>
          <w:color w:val="auto"/>
          <w:spacing w:val="3"/>
          <w:kern w:val="0"/>
          <w:sz w:val="32"/>
          <w:szCs w:val="32"/>
          <w:lang w:val="en-US" w:eastAsia="zh-CN"/>
        </w:rPr>
        <w:t>三、加强灾害监测预警预报和风险防范能力建设机制</w:t>
      </w:r>
    </w:p>
    <w:p w14:paraId="775B3792">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92" w:firstLineChars="0"/>
        <w:jc w:val="both"/>
        <w:textAlignment w:val="baseline"/>
        <w:outlineLvl w:val="9"/>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完善自然灾害综合监测预警体系，提高灾害监测准确性与及时性，健全灾害预警信息发布机制，拓宽发布渠道，确保预警信息及时准确传递至基层群众。强化自然灾害风险评估与分析，建立统一监测预警平台，实现信息共享与协同预警。持续完善县、乡、村三级灾害群测群防网络体系，完成灾害隐患点汛期排查、巡查、核查工作。加大群测群防经费投入，配置必要监测设备，提升群测群防工作水平。</w:t>
      </w:r>
    </w:p>
    <w:p w14:paraId="0AF094B4">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center"/>
        <w:textAlignment w:val="baseline"/>
        <w:outlineLvl w:val="1"/>
        <w:rPr>
          <w:rFonts w:hint="eastAsia" w:ascii="黑体" w:hAnsi="黑体" w:eastAsia="黑体"/>
          <w:spacing w:val="0"/>
          <w:sz w:val="21"/>
          <w:szCs w:val="21"/>
          <w:lang w:eastAsia="zh-CN"/>
        </w:rPr>
      </w:pPr>
      <w:r>
        <w:rPr>
          <w:rFonts w:hint="eastAsia" w:ascii="楷体" w:hAnsi="楷体" w:eastAsia="楷体" w:cs="楷体"/>
          <w:b/>
          <w:bCs/>
          <w:snapToGrid w:val="0"/>
          <w:color w:val="auto"/>
          <w:spacing w:val="3"/>
          <w:kern w:val="0"/>
          <w:sz w:val="32"/>
          <w:szCs w:val="32"/>
          <w:lang w:val="en-US" w:eastAsia="zh-CN"/>
        </w:rPr>
        <w:t>　</w:t>
      </w:r>
      <w:r>
        <w:rPr>
          <w:rFonts w:hint="eastAsia" w:ascii="方正楷体简体" w:hAnsi="方正楷体简体" w:eastAsia="方正楷体简体" w:cs="方正楷体简体"/>
          <w:b/>
          <w:bCs/>
          <w:snapToGrid w:val="0"/>
          <w:color w:val="auto"/>
          <w:spacing w:val="3"/>
          <w:kern w:val="0"/>
          <w:sz w:val="32"/>
          <w:szCs w:val="32"/>
          <w:lang w:val="en-US" w:eastAsia="zh-CN"/>
        </w:rPr>
        <w:t>　第二节 推进自然灾害防治能力现代化</w:t>
      </w:r>
    </w:p>
    <w:p w14:paraId="42DB1A2E">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outlineLvl w:val="1"/>
        <w:rPr>
          <w:rFonts w:hint="eastAsia" w:ascii="仿宋_GB2312" w:hAnsi="仿宋_GB2312" w:eastAsia="仿宋_GB2312" w:cs="仿宋_GB2312"/>
          <w:b w:val="0"/>
          <w:bCs w:val="0"/>
          <w:snapToGrid w:val="0"/>
          <w:color w:val="auto"/>
          <w:spacing w:val="3"/>
          <w:kern w:val="0"/>
          <w:sz w:val="32"/>
          <w:szCs w:val="32"/>
          <w:lang w:val="en-US" w:eastAsia="zh-CN"/>
        </w:rPr>
      </w:pPr>
      <w:r>
        <w:rPr>
          <w:rFonts w:hint="eastAsia" w:ascii="楷体" w:hAnsi="楷体" w:eastAsia="楷体" w:cs="楷体"/>
          <w:b/>
          <w:bCs/>
          <w:snapToGrid w:val="0"/>
          <w:color w:val="auto"/>
          <w:spacing w:val="3"/>
          <w:kern w:val="0"/>
          <w:sz w:val="32"/>
          <w:szCs w:val="32"/>
          <w:lang w:val="en-US" w:eastAsia="zh-CN"/>
        </w:rPr>
        <w:t>　　</w:t>
      </w:r>
      <w:r>
        <w:rPr>
          <w:rFonts w:hint="eastAsia" w:ascii="仿宋_GB2312" w:hAnsi="仿宋_GB2312" w:eastAsia="仿宋_GB2312" w:cs="仿宋_GB2312"/>
          <w:b/>
          <w:bCs/>
          <w:snapToGrid w:val="0"/>
          <w:color w:val="auto"/>
          <w:spacing w:val="3"/>
          <w:kern w:val="0"/>
          <w:sz w:val="32"/>
          <w:szCs w:val="32"/>
          <w:lang w:val="en-US" w:eastAsia="zh-CN"/>
        </w:rPr>
        <w:t>一、加强防灾减灾基础设施建设</w:t>
      </w:r>
    </w:p>
    <w:p w14:paraId="038BEE5F">
      <w:pPr>
        <w:keepNext w:val="0"/>
        <w:keepLines w:val="0"/>
        <w:pageBreakBefore w:val="0"/>
        <w:widowControl w:val="0"/>
        <w:kinsoku/>
        <w:wordWrap/>
        <w:overflowPunct/>
        <w:topLinePunct w:val="0"/>
        <w:autoSpaceDE/>
        <w:autoSpaceDN/>
        <w:bidi w:val="0"/>
        <w:adjustRightInd/>
        <w:snapToGrid/>
        <w:spacing w:after="0" w:afterLines="0" w:afterAutospacing="0" w:line="560" w:lineRule="exact"/>
        <w:ind w:right="0" w:firstLine="0" w:firstLineChars="0"/>
        <w:textAlignment w:val="auto"/>
        <w:rPr>
          <w:rFonts w:hint="eastAsia" w:ascii="仿宋_GB2312" w:hAnsi="仿宋_GB2312" w:eastAsia="仿宋_GB2312" w:cs="仿宋_GB2312"/>
          <w:b w:val="0"/>
          <w:bCs w:val="0"/>
          <w:spacing w:val="0"/>
          <w:sz w:val="32"/>
          <w:szCs w:val="32"/>
          <w:lang w:eastAsia="zh-CN"/>
        </w:rPr>
      </w:pPr>
      <w:r>
        <w:rPr>
          <w:rFonts w:hint="eastAsia" w:ascii="仿宋_GB2312" w:hAnsi="仿宋_GB2312" w:eastAsia="仿宋_GB2312" w:cs="仿宋_GB2312"/>
          <w:b w:val="0"/>
          <w:bCs w:val="0"/>
          <w:snapToGrid w:val="0"/>
          <w:color w:val="auto"/>
          <w:spacing w:val="13"/>
          <w:kern w:val="0"/>
          <w:sz w:val="32"/>
          <w:szCs w:val="32"/>
          <w:lang w:val="en-US" w:eastAsia="zh-CN"/>
        </w:rPr>
        <w:t>　　全面提升县域内交通、供水、排水防涝、供热供气及污水、垃圾处理等基础设施的灾害应对能力。提高防洪排涝基础设施可靠性，推进河流堤防达标建设，加强河流治理、病险水库除险加固和山洪泥石流灾害防治。推进防灾减灾基础设施建设，提升抗旱排涝能力。开展农村危房改造、地震易发区房屋设施加固等工程，及时排除隐患，逐步降低灾害风险。</w:t>
      </w:r>
    </w:p>
    <w:p w14:paraId="0C3647C4">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outlineLvl w:val="1"/>
        <w:rPr>
          <w:rFonts w:hint="eastAsia" w:ascii="仿宋_GB2312" w:hAnsi="仿宋_GB2312" w:eastAsia="仿宋_GB2312" w:cs="仿宋_GB2312"/>
          <w:b w:val="0"/>
          <w:bCs w:val="0"/>
          <w:snapToGrid w:val="0"/>
          <w:color w:val="auto"/>
          <w:spacing w:val="3"/>
          <w:kern w:val="0"/>
          <w:sz w:val="32"/>
          <w:szCs w:val="32"/>
          <w:lang w:val="en-US" w:eastAsia="zh-CN"/>
        </w:rPr>
      </w:pPr>
      <w:r>
        <w:rPr>
          <w:rFonts w:hint="eastAsia" w:ascii="仿宋_GB2312" w:hAnsi="仿宋_GB2312" w:eastAsia="仿宋_GB2312" w:cs="仿宋_GB2312"/>
          <w:b w:val="0"/>
          <w:bCs w:val="0"/>
          <w:snapToGrid w:val="0"/>
          <w:color w:val="auto"/>
          <w:spacing w:val="3"/>
          <w:kern w:val="0"/>
          <w:sz w:val="32"/>
          <w:szCs w:val="32"/>
          <w:lang w:val="en-US" w:eastAsia="zh-CN"/>
        </w:rPr>
        <w:t>　　</w:t>
      </w:r>
      <w:r>
        <w:rPr>
          <w:rFonts w:hint="eastAsia" w:ascii="仿宋_GB2312" w:hAnsi="仿宋_GB2312" w:eastAsia="仿宋_GB2312" w:cs="仿宋_GB2312"/>
          <w:b/>
          <w:bCs/>
          <w:snapToGrid w:val="0"/>
          <w:color w:val="auto"/>
          <w:spacing w:val="3"/>
          <w:kern w:val="0"/>
          <w:sz w:val="32"/>
          <w:szCs w:val="32"/>
          <w:lang w:val="en-US" w:eastAsia="zh-CN"/>
        </w:rPr>
        <w:t>二、强化气象灾害预警与应急响应联动机制</w:t>
      </w:r>
    </w:p>
    <w:p w14:paraId="02DF9065">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b w:val="0"/>
          <w:bCs w:val="0"/>
          <w:spacing w:val="0"/>
          <w:sz w:val="32"/>
          <w:szCs w:val="32"/>
          <w:lang w:eastAsia="zh-CN"/>
        </w:rPr>
      </w:pPr>
      <w:r>
        <w:rPr>
          <w:rFonts w:hint="eastAsia" w:ascii="仿宋_GB2312" w:hAnsi="仿宋_GB2312" w:eastAsia="仿宋_GB2312" w:cs="仿宋_GB2312"/>
          <w:b w:val="0"/>
          <w:bCs w:val="0"/>
          <w:snapToGrid w:val="0"/>
          <w:color w:val="auto"/>
          <w:spacing w:val="13"/>
          <w:kern w:val="0"/>
          <w:sz w:val="32"/>
          <w:szCs w:val="32"/>
          <w:lang w:val="en-US" w:eastAsia="zh-CN"/>
        </w:rPr>
        <w:t>　　加强突发事件预警信息发布，完善多部门共用、多灾种综合、多手段融合、覆盖“县—乡—村”三级的灾害预警信息发布系统。拓宽信息发布渠道，充分发挥主流媒体作用，扩大受众覆盖面和影响力。建立健全灾害信息跨部门互联互通机制，加快自然灾害综合监测预警系统建设，强化灾害趋势和灾情会商研判，提升重大风险早期精准识别、风险评估和综合研判能力。</w:t>
      </w:r>
    </w:p>
    <w:p w14:paraId="6F35B057">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54" w:firstLineChars="0"/>
        <w:jc w:val="both"/>
        <w:textAlignment w:val="baseline"/>
        <w:outlineLvl w:val="1"/>
        <w:rPr>
          <w:rFonts w:hint="eastAsia" w:ascii="仿宋_GB2312" w:hAnsi="仿宋_GB2312" w:eastAsia="仿宋_GB2312" w:cs="仿宋_GB2312"/>
          <w:b/>
          <w:bCs/>
          <w:snapToGrid w:val="0"/>
          <w:color w:val="auto"/>
          <w:spacing w:val="3"/>
          <w:kern w:val="0"/>
          <w:sz w:val="32"/>
          <w:szCs w:val="32"/>
          <w:lang w:val="en-US" w:eastAsia="zh-CN"/>
        </w:rPr>
      </w:pPr>
      <w:r>
        <w:rPr>
          <w:rFonts w:hint="eastAsia" w:ascii="仿宋_GB2312" w:hAnsi="仿宋_GB2312" w:eastAsia="仿宋_GB2312" w:cs="仿宋_GB2312"/>
          <w:b/>
          <w:bCs/>
          <w:snapToGrid w:val="0"/>
          <w:color w:val="auto"/>
          <w:spacing w:val="3"/>
          <w:kern w:val="0"/>
          <w:sz w:val="32"/>
          <w:szCs w:val="32"/>
          <w:lang w:val="en-US" w:eastAsia="zh-CN"/>
        </w:rPr>
        <w:t>三、增强基层综合减灾能力</w:t>
      </w:r>
    </w:p>
    <w:p w14:paraId="25886F0E">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92" w:firstLineChars="0"/>
        <w:jc w:val="both"/>
        <w:textAlignment w:val="baseline"/>
        <w:outlineLvl w:val="1"/>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围绕自治区新型城镇化、乡村振兴及区域协同发展等重大战略部署，健全城乡灾害综合风险防控体系与应急协调机制。扎实推进综合减灾示范创建，全面推行灾害风险网格化管理，推动基层灾害隐患排查治理常态化。提升基层应急能力建设标准化水平，确保各行政村（社区）全面落实“六个一”建设标准（制定一份应急预案、组建一支应急队伍、绘制一张风险隐患图、规划一张疏散路线图、设立一个应急物资储备点、每年开展一次应急演练），持续巩固群防群治工作基础。</w:t>
      </w:r>
    </w:p>
    <w:p w14:paraId="494CAF37">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92" w:firstLineChars="0"/>
        <w:jc w:val="both"/>
        <w:textAlignment w:val="baseline"/>
        <w:outlineLvl w:val="1"/>
        <w:rPr>
          <w:rFonts w:hint="eastAsia" w:ascii="仿宋_GB2312" w:hAnsi="仿宋_GB2312" w:eastAsia="仿宋_GB2312" w:cs="仿宋_GB2312"/>
          <w:b w:val="0"/>
          <w:bCs w:val="0"/>
          <w:snapToGrid w:val="0"/>
          <w:color w:val="auto"/>
          <w:spacing w:val="13"/>
          <w:kern w:val="0"/>
          <w:sz w:val="32"/>
          <w:szCs w:val="32"/>
          <w:lang w:val="en-US" w:eastAsia="zh-CN"/>
        </w:rPr>
      </w:pPr>
    </w:p>
    <w:p w14:paraId="3AFAAD09">
      <w:pPr>
        <w:keepNext/>
        <w:keepLines/>
        <w:pageBreakBefore w:val="0"/>
        <w:widowControl/>
        <w:numPr>
          <w:ilvl w:val="0"/>
          <w:numId w:val="0"/>
        </w:numPr>
        <w:tabs>
          <w:tab w:val="left" w:pos="0"/>
        </w:tabs>
        <w:wordWrap/>
        <w:overflowPunct/>
        <w:topLinePunct w:val="0"/>
        <w:bidi w:val="0"/>
        <w:adjustRightInd w:val="0"/>
        <w:snapToGrid w:val="0"/>
        <w:spacing w:before="0" w:beforeLines="0" w:after="0" w:afterLines="0" w:afterAutospacing="0" w:line="560" w:lineRule="exact"/>
        <w:ind w:leftChars="0" w:right="0"/>
        <w:jc w:val="center"/>
        <w:outlineLvl w:val="0"/>
        <w:rPr>
          <w:rFonts w:hint="default" w:ascii="黑体" w:hAnsi="黑体" w:eastAsia="黑体" w:cs="黑体"/>
          <w:b w:val="0"/>
          <w:bCs w:val="0"/>
          <w:snapToGrid w:val="0"/>
          <w:color w:val="000000"/>
          <w:kern w:val="0"/>
          <w:position w:val="1"/>
          <w:sz w:val="32"/>
          <w:szCs w:val="32"/>
          <w:lang w:val="en-US" w:eastAsia="zh-CN" w:bidi="ar-SA"/>
        </w:rPr>
      </w:pPr>
      <w:r>
        <w:rPr>
          <w:rFonts w:hint="eastAsia" w:ascii="黑体" w:hAnsi="黑体" w:eastAsia="黑体" w:cs="黑体"/>
          <w:b w:val="0"/>
          <w:bCs w:val="0"/>
          <w:snapToGrid w:val="0"/>
          <w:color w:val="000000"/>
          <w:kern w:val="0"/>
          <w:position w:val="1"/>
          <w:sz w:val="32"/>
          <w:szCs w:val="32"/>
          <w:lang w:val="en-US" w:eastAsia="zh-CN" w:bidi="ar-SA"/>
        </w:rPr>
        <w:t>第四章  重点项目</w:t>
      </w:r>
    </w:p>
    <w:p w14:paraId="46197ED0">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890" w:firstLineChars="200"/>
        <w:jc w:val="center"/>
        <w:textAlignment w:val="baseline"/>
        <w:rPr>
          <w:rFonts w:hint="eastAsia" w:ascii="方正楷体简体" w:hAnsi="方正楷体简体" w:eastAsia="方正楷体简体" w:cs="方正楷体简体"/>
          <w:b/>
          <w:bCs/>
          <w:snapToGrid w:val="0"/>
          <w:color w:val="000000"/>
          <w:spacing w:val="10"/>
          <w:kern w:val="0"/>
          <w:sz w:val="32"/>
          <w:szCs w:val="32"/>
          <w:lang w:val="en-US" w:eastAsia="zh-CN" w:bidi="ar-SA"/>
        </w:rPr>
      </w:pPr>
      <w:r>
        <w:rPr>
          <w:rFonts w:hint="eastAsia" w:ascii="方正楷体简体" w:hAnsi="方正楷体简体" w:eastAsia="方正楷体简体" w:cs="方正楷体简体"/>
          <w:b/>
          <w:bCs/>
          <w:snapToGrid w:val="0"/>
          <w:color w:val="000000"/>
          <w:spacing w:val="10"/>
          <w:kern w:val="0"/>
          <w:sz w:val="32"/>
          <w:szCs w:val="32"/>
          <w:lang w:val="en-US" w:eastAsia="zh-CN" w:bidi="ar-SA"/>
        </w:rPr>
        <w:t>第一节 防灾减灾救灾能力提升项目</w:t>
      </w:r>
    </w:p>
    <w:p w14:paraId="22CF7526">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92"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_GB2312" w:hAnsi="仿宋_GB2312" w:eastAsia="仿宋_GB2312" w:cs="仿宋_GB2312"/>
          <w:snapToGrid w:val="0"/>
          <w:color w:val="auto"/>
          <w:spacing w:val="13"/>
          <w:kern w:val="0"/>
          <w:sz w:val="32"/>
          <w:szCs w:val="32"/>
          <w:lang w:val="en-US" w:eastAsia="zh-CN"/>
        </w:rPr>
        <w:t>本项目总投资</w:t>
      </w:r>
      <w:r>
        <w:rPr>
          <w:rFonts w:hint="default" w:ascii="Times New Roman" w:hAnsi="Times New Roman" w:eastAsia="仿宋_GB2312" w:cs="Times New Roman"/>
          <w:snapToGrid w:val="0"/>
          <w:color w:val="auto"/>
          <w:spacing w:val="13"/>
          <w:kern w:val="0"/>
          <w:sz w:val="32"/>
          <w:szCs w:val="32"/>
          <w:lang w:val="en-US" w:eastAsia="zh-CN"/>
        </w:rPr>
        <w:t>1250</w:t>
      </w:r>
      <w:r>
        <w:rPr>
          <w:rFonts w:hint="eastAsia" w:ascii="仿宋_GB2312" w:hAnsi="仿宋_GB2312" w:eastAsia="仿宋_GB2312" w:cs="仿宋_GB2312"/>
          <w:snapToGrid w:val="0"/>
          <w:color w:val="auto"/>
          <w:spacing w:val="13"/>
          <w:kern w:val="0"/>
          <w:sz w:val="32"/>
          <w:szCs w:val="32"/>
          <w:lang w:val="en-US" w:eastAsia="zh-CN"/>
        </w:rPr>
        <w:t>万元，资金来源组成是两部分，包括一般债券</w:t>
      </w:r>
      <w:r>
        <w:rPr>
          <w:rFonts w:hint="eastAsia" w:ascii="Times New Roman" w:hAnsi="Times New Roman" w:eastAsia="仿宋_GB2312" w:cs="Times New Roman"/>
          <w:snapToGrid w:val="0"/>
          <w:color w:val="auto"/>
          <w:spacing w:val="13"/>
          <w:kern w:val="0"/>
          <w:sz w:val="32"/>
          <w:szCs w:val="32"/>
          <w:lang w:val="en-US" w:eastAsia="zh-CN"/>
        </w:rPr>
        <w:t>1000</w:t>
      </w:r>
      <w:r>
        <w:rPr>
          <w:rFonts w:hint="eastAsia" w:ascii="仿宋_GB2312" w:hAnsi="仿宋_GB2312" w:eastAsia="仿宋_GB2312" w:cs="仿宋_GB2312"/>
          <w:snapToGrid w:val="0"/>
          <w:color w:val="auto"/>
          <w:spacing w:val="13"/>
          <w:kern w:val="0"/>
          <w:sz w:val="32"/>
          <w:szCs w:val="32"/>
          <w:lang w:val="en-US" w:eastAsia="zh-CN"/>
        </w:rPr>
        <w:t>万元，其他资金</w:t>
      </w:r>
      <w:r>
        <w:rPr>
          <w:rFonts w:hint="eastAsia" w:ascii="Times New Roman" w:hAnsi="Times New Roman" w:eastAsia="仿宋_GB2312" w:cs="Times New Roman"/>
          <w:snapToGrid w:val="0"/>
          <w:color w:val="auto"/>
          <w:spacing w:val="13"/>
          <w:kern w:val="0"/>
          <w:sz w:val="32"/>
          <w:szCs w:val="32"/>
          <w:lang w:val="en-US" w:eastAsia="zh-CN"/>
        </w:rPr>
        <w:t>250</w:t>
      </w:r>
      <w:r>
        <w:rPr>
          <w:rFonts w:hint="eastAsia" w:ascii="仿宋_GB2312" w:hAnsi="仿宋_GB2312" w:eastAsia="仿宋_GB2312" w:cs="仿宋_GB2312"/>
          <w:snapToGrid w:val="0"/>
          <w:color w:val="auto"/>
          <w:spacing w:val="13"/>
          <w:kern w:val="0"/>
          <w:sz w:val="32"/>
          <w:szCs w:val="32"/>
          <w:lang w:val="en-US" w:eastAsia="zh-CN"/>
        </w:rPr>
        <w:t>万元，计划实施年限为</w:t>
      </w:r>
      <w:r>
        <w:rPr>
          <w:rFonts w:hint="eastAsia" w:ascii="Times New Roman" w:hAnsi="Times New Roman" w:eastAsia="仿宋_GB2312" w:cs="Times New Roman"/>
          <w:snapToGrid w:val="0"/>
          <w:color w:val="auto"/>
          <w:spacing w:val="13"/>
          <w:kern w:val="0"/>
          <w:sz w:val="32"/>
          <w:szCs w:val="32"/>
          <w:lang w:val="en-US" w:eastAsia="zh-CN"/>
        </w:rPr>
        <w:t>2026</w:t>
      </w:r>
      <w:r>
        <w:rPr>
          <w:rFonts w:hint="eastAsia" w:ascii="仿宋_GB2312" w:hAnsi="仿宋_GB2312" w:eastAsia="仿宋_GB2312" w:cs="仿宋_GB2312"/>
          <w:snapToGrid w:val="0"/>
          <w:color w:val="auto"/>
          <w:spacing w:val="13"/>
          <w:kern w:val="0"/>
          <w:sz w:val="32"/>
          <w:szCs w:val="32"/>
          <w:lang w:val="en-US" w:eastAsia="zh-CN"/>
        </w:rPr>
        <w:t>年。项目内容主要包括：（</w:t>
      </w:r>
      <w:r>
        <w:rPr>
          <w:rFonts w:hint="default" w:ascii="Times New Roman" w:hAnsi="Times New Roman" w:eastAsia="仿宋_GB2312" w:cs="Times New Roman"/>
          <w:snapToGrid w:val="0"/>
          <w:color w:val="auto"/>
          <w:spacing w:val="13"/>
          <w:kern w:val="0"/>
          <w:sz w:val="32"/>
          <w:szCs w:val="32"/>
          <w:lang w:val="en-US" w:eastAsia="zh-CN"/>
        </w:rPr>
        <w:t>1</w:t>
      </w:r>
      <w:r>
        <w:rPr>
          <w:rFonts w:hint="eastAsia" w:ascii="Times New Roman" w:hAnsi="Times New Roman" w:eastAsia="仿宋_GB2312" w:cs="Times New Roman"/>
          <w:snapToGrid w:val="0"/>
          <w:color w:val="auto"/>
          <w:spacing w:val="13"/>
          <w:kern w:val="0"/>
          <w:sz w:val="32"/>
          <w:szCs w:val="32"/>
          <w:lang w:val="en-US" w:eastAsia="zh-CN"/>
        </w:rPr>
        <w:t>）</w:t>
      </w:r>
      <w:r>
        <w:rPr>
          <w:rFonts w:hint="eastAsia" w:ascii="仿宋_GB2312" w:hAnsi="仿宋_GB2312" w:eastAsia="仿宋_GB2312" w:cs="仿宋_GB2312"/>
          <w:snapToGrid w:val="0"/>
          <w:color w:val="auto"/>
          <w:spacing w:val="13"/>
          <w:kern w:val="0"/>
          <w:sz w:val="32"/>
          <w:szCs w:val="32"/>
          <w:lang w:val="en-US" w:eastAsia="zh-CN"/>
        </w:rPr>
        <w:t>采购安装地震预警终端、应急喇叭、卫星电话等预警设备；（</w:t>
      </w:r>
      <w:r>
        <w:rPr>
          <w:rFonts w:hint="eastAsia" w:ascii="Times New Roman" w:hAnsi="Times New Roman" w:eastAsia="仿宋_GB2312" w:cs="Times New Roman"/>
          <w:snapToGrid w:val="0"/>
          <w:color w:val="auto"/>
          <w:spacing w:val="13"/>
          <w:kern w:val="0"/>
          <w:sz w:val="32"/>
          <w:szCs w:val="32"/>
          <w:lang w:val="en-US" w:eastAsia="zh-CN"/>
        </w:rPr>
        <w:t>2）</w:t>
      </w:r>
      <w:r>
        <w:rPr>
          <w:rFonts w:hint="eastAsia" w:ascii="仿宋_GB2312" w:hAnsi="仿宋_GB2312" w:eastAsia="仿宋_GB2312" w:cs="仿宋_GB2312"/>
          <w:snapToGrid w:val="0"/>
          <w:color w:val="auto"/>
          <w:spacing w:val="13"/>
          <w:kern w:val="0"/>
          <w:sz w:val="32"/>
          <w:szCs w:val="32"/>
          <w:lang w:val="en-US" w:eastAsia="zh-CN"/>
        </w:rPr>
        <w:t>采购棉被帐篷、棉大衣、折叠床、取暖设备等救灾物资；（</w:t>
      </w:r>
      <w:r>
        <w:rPr>
          <w:rFonts w:hint="eastAsia" w:ascii="Times New Roman" w:hAnsi="Times New Roman" w:eastAsia="仿宋_GB2312" w:cs="Times New Roman"/>
          <w:snapToGrid w:val="0"/>
          <w:color w:val="auto"/>
          <w:spacing w:val="13"/>
          <w:kern w:val="0"/>
          <w:sz w:val="32"/>
          <w:szCs w:val="32"/>
          <w:lang w:val="en-US" w:eastAsia="zh-CN"/>
        </w:rPr>
        <w:t>3）</w:t>
      </w:r>
      <w:r>
        <w:rPr>
          <w:rFonts w:hint="eastAsia" w:ascii="仿宋_GB2312" w:hAnsi="仿宋_GB2312" w:eastAsia="仿宋_GB2312" w:cs="仿宋_GB2312"/>
          <w:snapToGrid w:val="0"/>
          <w:color w:val="auto"/>
          <w:spacing w:val="13"/>
          <w:kern w:val="0"/>
          <w:sz w:val="32"/>
          <w:szCs w:val="32"/>
          <w:lang w:val="en-US" w:eastAsia="zh-CN"/>
        </w:rPr>
        <w:t>采购一辆应急通信指挥车、一辆便携应急救援车及配套设备。</w:t>
      </w:r>
    </w:p>
    <w:p w14:paraId="76401703">
      <w:pPr>
        <w:keepNext w:val="0"/>
        <w:keepLines w:val="0"/>
        <w:pageBreakBefore w:val="0"/>
        <w:widowControl/>
        <w:numPr>
          <w:ilvl w:val="2"/>
          <w:numId w:val="0"/>
        </w:numPr>
        <w:tabs>
          <w:tab w:val="left" w:pos="0"/>
          <w:tab w:val="left" w:pos="312"/>
        </w:tabs>
        <w:kinsoku/>
        <w:wordWrap/>
        <w:overflowPunct/>
        <w:topLinePunct w:val="0"/>
        <w:autoSpaceDE/>
        <w:autoSpaceDN/>
        <w:bidi w:val="0"/>
        <w:adjustRightInd w:val="0"/>
        <w:snapToGrid w:val="0"/>
        <w:spacing w:before="0" w:beforeLines="0" w:after="0" w:afterLines="0" w:afterAutospacing="0" w:line="560" w:lineRule="exact"/>
        <w:ind w:left="0" w:leftChars="0" w:right="0" w:firstLine="0" w:firstLineChars="0"/>
        <w:jc w:val="center"/>
        <w:textAlignment w:val="auto"/>
        <w:outlineLvl w:val="2"/>
        <w:rPr>
          <w:rFonts w:hint="eastAsia" w:ascii="方正楷体简体" w:hAnsi="方正楷体简体" w:eastAsia="方正楷体简体" w:cs="方正楷体简体"/>
          <w:b/>
          <w:bCs/>
          <w:snapToGrid w:val="0"/>
          <w:color w:val="000000"/>
          <w:spacing w:val="10"/>
          <w:kern w:val="0"/>
          <w:sz w:val="32"/>
          <w:szCs w:val="32"/>
          <w:lang w:val="en-US" w:eastAsia="zh-CN" w:bidi="ar-SA"/>
        </w:rPr>
      </w:pPr>
      <w:r>
        <w:rPr>
          <w:rFonts w:hint="eastAsia" w:ascii="方正楷体简体" w:hAnsi="方正楷体简体" w:eastAsia="方正楷体简体" w:cs="方正楷体简体"/>
          <w:b/>
          <w:bCs/>
          <w:snapToGrid w:val="0"/>
          <w:color w:val="000000"/>
          <w:spacing w:val="10"/>
          <w:kern w:val="0"/>
          <w:sz w:val="32"/>
          <w:szCs w:val="32"/>
          <w:lang w:val="en-US" w:eastAsia="zh-CN" w:bidi="ar-SA"/>
        </w:rPr>
        <w:t xml:space="preserve">    第二节 气象防灾减灾综合能力提升项目</w:t>
      </w:r>
    </w:p>
    <w:p w14:paraId="5629A03D">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snapToGrid w:val="0"/>
          <w:color w:val="auto"/>
          <w:spacing w:val="13"/>
          <w:kern w:val="0"/>
          <w:sz w:val="32"/>
          <w:szCs w:val="32"/>
          <w:lang w:val="en-US" w:eastAsia="zh-CN"/>
        </w:rPr>
        <w:t>　本项目总投资</w:t>
      </w:r>
      <w:r>
        <w:rPr>
          <w:rFonts w:hint="eastAsia" w:ascii="Times New Roman" w:hAnsi="Times New Roman" w:eastAsia="仿宋_GB2312" w:cs="Times New Roman"/>
          <w:snapToGrid w:val="0"/>
          <w:color w:val="auto"/>
          <w:spacing w:val="13"/>
          <w:kern w:val="0"/>
          <w:sz w:val="32"/>
          <w:szCs w:val="32"/>
          <w:lang w:val="en-US" w:eastAsia="zh-CN"/>
        </w:rPr>
        <w:t>2500</w:t>
      </w:r>
      <w:r>
        <w:rPr>
          <w:rFonts w:hint="eastAsia" w:ascii="仿宋_GB2312" w:hAnsi="仿宋_GB2312" w:eastAsia="仿宋_GB2312" w:cs="仿宋_GB2312"/>
          <w:snapToGrid w:val="0"/>
          <w:color w:val="auto"/>
          <w:spacing w:val="13"/>
          <w:kern w:val="0"/>
          <w:sz w:val="32"/>
          <w:szCs w:val="32"/>
          <w:lang w:val="en-US" w:eastAsia="zh-CN"/>
        </w:rPr>
        <w:t>万元，资金来源拟申报援疆资金，计划实施年限为</w:t>
      </w:r>
      <w:r>
        <w:rPr>
          <w:rFonts w:hint="eastAsia" w:ascii="Times New Roman" w:hAnsi="Times New Roman" w:eastAsia="仿宋_GB2312" w:cs="Times New Roman"/>
          <w:snapToGrid w:val="0"/>
          <w:color w:val="auto"/>
          <w:spacing w:val="13"/>
          <w:kern w:val="0"/>
          <w:sz w:val="32"/>
          <w:szCs w:val="32"/>
          <w:lang w:val="en-US" w:eastAsia="zh-CN"/>
        </w:rPr>
        <w:t>2028</w:t>
      </w:r>
      <w:r>
        <w:rPr>
          <w:rFonts w:hint="eastAsia" w:ascii="仿宋_GB2312" w:hAnsi="仿宋_GB2312" w:eastAsia="仿宋_GB2312" w:cs="仿宋_GB2312"/>
          <w:snapToGrid w:val="0"/>
          <w:color w:val="auto"/>
          <w:spacing w:val="13"/>
          <w:kern w:val="0"/>
          <w:sz w:val="32"/>
          <w:szCs w:val="32"/>
          <w:lang w:val="en-US" w:eastAsia="zh-CN"/>
        </w:rPr>
        <w:t>年。主要包括项目有：（</w:t>
      </w:r>
      <w:r>
        <w:rPr>
          <w:rFonts w:hint="default" w:ascii="Times New Roman" w:hAnsi="Times New Roman" w:eastAsia="仿宋_GB2312" w:cs="Times New Roman"/>
          <w:snapToGrid w:val="0"/>
          <w:color w:val="auto"/>
          <w:spacing w:val="13"/>
          <w:kern w:val="0"/>
          <w:sz w:val="32"/>
          <w:szCs w:val="32"/>
          <w:lang w:val="en-US" w:eastAsia="zh-CN"/>
        </w:rPr>
        <w:t>1</w:t>
      </w:r>
      <w:r>
        <w:rPr>
          <w:rFonts w:hint="eastAsia" w:ascii="Times New Roman" w:hAnsi="Times New Roman" w:eastAsia="仿宋_GB2312" w:cs="Times New Roman"/>
          <w:snapToGrid w:val="0"/>
          <w:color w:val="auto"/>
          <w:spacing w:val="13"/>
          <w:kern w:val="0"/>
          <w:sz w:val="32"/>
          <w:szCs w:val="32"/>
          <w:lang w:val="en-US" w:eastAsia="zh-CN"/>
        </w:rPr>
        <w:t>）</w:t>
      </w:r>
      <w:r>
        <w:rPr>
          <w:rFonts w:hint="eastAsia" w:ascii="仿宋_GB2312" w:hAnsi="仿宋_GB2312" w:eastAsia="仿宋_GB2312" w:cs="仿宋_GB2312"/>
          <w:snapToGrid w:val="0"/>
          <w:color w:val="auto"/>
          <w:spacing w:val="13"/>
          <w:kern w:val="0"/>
          <w:sz w:val="32"/>
          <w:szCs w:val="32"/>
          <w:lang w:val="en-US" w:eastAsia="zh-CN"/>
        </w:rPr>
        <w:t>加密区域自动气象站建设。在墨玉县气象观测盲区、萨依巴格乡山区、森林防火点及北部沙漠区等重点区域，补充建设</w:t>
      </w:r>
      <w:r>
        <w:rPr>
          <w:rFonts w:hint="eastAsia" w:ascii="Times New Roman" w:hAnsi="Times New Roman" w:eastAsia="仿宋_GB2312" w:cs="Times New Roman"/>
          <w:snapToGrid w:val="0"/>
          <w:color w:val="auto"/>
          <w:spacing w:val="13"/>
          <w:kern w:val="0"/>
          <w:sz w:val="32"/>
          <w:szCs w:val="32"/>
          <w:lang w:val="en-US" w:eastAsia="zh-CN"/>
        </w:rPr>
        <w:t>15</w:t>
      </w:r>
      <w:r>
        <w:rPr>
          <w:rFonts w:hint="eastAsia" w:ascii="仿宋_GB2312" w:hAnsi="仿宋_GB2312" w:eastAsia="仿宋_GB2312" w:cs="仿宋_GB2312"/>
          <w:snapToGrid w:val="0"/>
          <w:color w:val="auto"/>
          <w:spacing w:val="13"/>
          <w:kern w:val="0"/>
          <w:sz w:val="32"/>
          <w:szCs w:val="32"/>
          <w:lang w:val="en-US" w:eastAsia="zh-CN"/>
        </w:rPr>
        <w:t>个采用北斗传输的区域自动气象观测站，实时采集温度、湿度、气压、风速、风向等气象要素，为气象灾害监测预警提供更全面的数据支撑；（</w:t>
      </w:r>
      <w:r>
        <w:rPr>
          <w:rFonts w:hint="eastAsia" w:ascii="Times New Roman" w:hAnsi="Times New Roman" w:eastAsia="仿宋_GB2312" w:cs="Times New Roman"/>
          <w:snapToGrid w:val="0"/>
          <w:color w:val="auto"/>
          <w:spacing w:val="13"/>
          <w:kern w:val="0"/>
          <w:sz w:val="32"/>
          <w:szCs w:val="32"/>
          <w:lang w:val="en-US" w:eastAsia="zh-CN"/>
        </w:rPr>
        <w:t>2）</w:t>
      </w:r>
      <w:r>
        <w:rPr>
          <w:rFonts w:hint="eastAsia" w:ascii="仿宋_GB2312" w:hAnsi="仿宋_GB2312" w:eastAsia="仿宋_GB2312" w:cs="仿宋_GB2312"/>
          <w:snapToGrid w:val="0"/>
          <w:color w:val="auto"/>
          <w:spacing w:val="13"/>
          <w:kern w:val="0"/>
          <w:sz w:val="32"/>
          <w:szCs w:val="32"/>
          <w:lang w:val="en-US" w:eastAsia="zh-CN"/>
        </w:rPr>
        <w:t>增设能见度观测仪。围绕气象观测精细化需求，在原有</w:t>
      </w:r>
      <w:r>
        <w:rPr>
          <w:rFonts w:hint="eastAsia" w:ascii="Times New Roman" w:hAnsi="Times New Roman" w:eastAsia="仿宋_GB2312" w:cs="Times New Roman"/>
          <w:snapToGrid w:val="0"/>
          <w:color w:val="auto"/>
          <w:spacing w:val="13"/>
          <w:kern w:val="0"/>
          <w:sz w:val="32"/>
          <w:szCs w:val="32"/>
          <w:lang w:val="en-US" w:eastAsia="zh-CN"/>
        </w:rPr>
        <w:t>16</w:t>
      </w:r>
      <w:r>
        <w:rPr>
          <w:rFonts w:hint="eastAsia" w:ascii="仿宋_GB2312" w:hAnsi="仿宋_GB2312" w:eastAsia="仿宋_GB2312" w:cs="仿宋_GB2312"/>
          <w:snapToGrid w:val="0"/>
          <w:color w:val="auto"/>
          <w:spacing w:val="13"/>
          <w:kern w:val="0"/>
          <w:sz w:val="32"/>
          <w:szCs w:val="32"/>
          <w:lang w:val="en-US" w:eastAsia="zh-CN"/>
        </w:rPr>
        <w:t>个乡镇站点基础上，依据地形和气象条件梯度变化，增设能见度观测仪，及时掌握能见度变化情况，为交通安全保障和农业生产防护提供精准气象信息；（</w:t>
      </w:r>
      <w:r>
        <w:rPr>
          <w:rFonts w:hint="eastAsia" w:ascii="Times New Roman" w:hAnsi="Times New Roman" w:eastAsia="仿宋_GB2312" w:cs="Times New Roman"/>
          <w:snapToGrid w:val="0"/>
          <w:color w:val="auto"/>
          <w:spacing w:val="13"/>
          <w:kern w:val="0"/>
          <w:sz w:val="32"/>
          <w:szCs w:val="32"/>
          <w:lang w:val="en-US" w:eastAsia="zh-CN"/>
        </w:rPr>
        <w:t>3）</w:t>
      </w:r>
      <w:r>
        <w:rPr>
          <w:rFonts w:hint="eastAsia" w:ascii="仿宋_GB2312" w:hAnsi="仿宋_GB2312" w:eastAsia="仿宋_GB2312" w:cs="仿宋_GB2312"/>
          <w:snapToGrid w:val="0"/>
          <w:color w:val="auto"/>
          <w:spacing w:val="13"/>
          <w:kern w:val="0"/>
          <w:sz w:val="32"/>
          <w:szCs w:val="32"/>
          <w:lang w:val="en-US" w:eastAsia="zh-CN"/>
        </w:rPr>
        <w:t>建设交通道路特色气象自动站。针对墨玉县</w:t>
      </w:r>
      <w:r>
        <w:rPr>
          <w:rFonts w:hint="eastAsia" w:ascii="Times New Roman" w:hAnsi="Times New Roman" w:eastAsia="仿宋_GB2312" w:cs="Times New Roman"/>
          <w:snapToGrid w:val="0"/>
          <w:color w:val="auto"/>
          <w:spacing w:val="13"/>
          <w:kern w:val="0"/>
          <w:sz w:val="32"/>
          <w:szCs w:val="32"/>
          <w:lang w:val="en-US" w:eastAsia="zh-CN"/>
        </w:rPr>
        <w:t>G315</w:t>
      </w:r>
      <w:r>
        <w:rPr>
          <w:rFonts w:hint="eastAsia" w:ascii="仿宋_GB2312" w:hAnsi="仿宋_GB2312" w:eastAsia="仿宋_GB2312" w:cs="仿宋_GB2312"/>
          <w:snapToGrid w:val="0"/>
          <w:color w:val="auto"/>
          <w:spacing w:val="13"/>
          <w:kern w:val="0"/>
          <w:sz w:val="32"/>
          <w:szCs w:val="32"/>
          <w:lang w:val="en-US" w:eastAsia="zh-CN"/>
        </w:rPr>
        <w:t>国道、</w:t>
      </w:r>
      <w:r>
        <w:rPr>
          <w:rFonts w:hint="eastAsia" w:ascii="Times New Roman" w:hAnsi="Times New Roman" w:eastAsia="仿宋_GB2312" w:cs="Times New Roman"/>
          <w:snapToGrid w:val="0"/>
          <w:color w:val="auto"/>
          <w:spacing w:val="13"/>
          <w:kern w:val="0"/>
          <w:sz w:val="32"/>
          <w:szCs w:val="32"/>
          <w:lang w:val="en-US" w:eastAsia="zh-CN"/>
        </w:rPr>
        <w:t>G580</w:t>
      </w:r>
      <w:r>
        <w:rPr>
          <w:rFonts w:hint="eastAsia" w:ascii="仿宋_GB2312" w:hAnsi="仿宋_GB2312" w:eastAsia="仿宋_GB2312" w:cs="仿宋_GB2312"/>
          <w:snapToGrid w:val="0"/>
          <w:color w:val="auto"/>
          <w:spacing w:val="13"/>
          <w:kern w:val="0"/>
          <w:sz w:val="32"/>
          <w:szCs w:val="32"/>
          <w:lang w:val="en-US" w:eastAsia="zh-CN"/>
        </w:rPr>
        <w:t>国道、</w:t>
      </w:r>
      <w:r>
        <w:rPr>
          <w:rFonts w:hint="eastAsia" w:ascii="Times New Roman" w:hAnsi="Times New Roman" w:eastAsia="仿宋_GB2312" w:cs="Times New Roman"/>
          <w:snapToGrid w:val="0"/>
          <w:color w:val="auto"/>
          <w:spacing w:val="13"/>
          <w:kern w:val="0"/>
          <w:sz w:val="32"/>
          <w:szCs w:val="32"/>
          <w:lang w:val="en-US" w:eastAsia="zh-CN"/>
        </w:rPr>
        <w:t>G688</w:t>
      </w:r>
      <w:r>
        <w:rPr>
          <w:rFonts w:hint="eastAsia" w:ascii="仿宋_GB2312" w:hAnsi="仿宋_GB2312" w:eastAsia="仿宋_GB2312" w:cs="仿宋_GB2312"/>
          <w:snapToGrid w:val="0"/>
          <w:color w:val="auto"/>
          <w:spacing w:val="13"/>
          <w:kern w:val="0"/>
          <w:sz w:val="32"/>
          <w:szCs w:val="32"/>
          <w:lang w:val="en-US" w:eastAsia="zh-CN"/>
        </w:rPr>
        <w:t>国道、</w:t>
      </w:r>
      <w:r>
        <w:rPr>
          <w:rFonts w:hint="eastAsia" w:ascii="Times New Roman" w:hAnsi="Times New Roman" w:eastAsia="仿宋_GB2312" w:cs="Times New Roman"/>
          <w:snapToGrid w:val="0"/>
          <w:color w:val="auto"/>
          <w:spacing w:val="13"/>
          <w:kern w:val="0"/>
          <w:sz w:val="32"/>
          <w:szCs w:val="32"/>
          <w:lang w:val="en-US" w:eastAsia="zh-CN"/>
        </w:rPr>
        <w:t>Y758</w:t>
      </w:r>
      <w:r>
        <w:rPr>
          <w:rFonts w:hint="eastAsia" w:ascii="仿宋_GB2312" w:hAnsi="仿宋_GB2312" w:eastAsia="仿宋_GB2312" w:cs="仿宋_GB2312"/>
          <w:snapToGrid w:val="0"/>
          <w:color w:val="auto"/>
          <w:spacing w:val="13"/>
          <w:kern w:val="0"/>
          <w:sz w:val="32"/>
          <w:szCs w:val="32"/>
          <w:lang w:val="en-US" w:eastAsia="zh-CN"/>
        </w:rPr>
        <w:t>、昆雅公路、红白山石油公路、吐和高速等交通事故易发点，增设</w:t>
      </w:r>
      <w:r>
        <w:rPr>
          <w:rFonts w:hint="default" w:ascii="Times New Roman" w:hAnsi="Times New Roman" w:eastAsia="仿宋_GB2312" w:cs="Times New Roman"/>
          <w:snapToGrid w:val="0"/>
          <w:color w:val="auto"/>
          <w:spacing w:val="13"/>
          <w:kern w:val="0"/>
          <w:sz w:val="32"/>
          <w:szCs w:val="32"/>
          <w:lang w:val="en-US" w:eastAsia="zh-CN"/>
        </w:rPr>
        <w:t>20</w:t>
      </w:r>
      <w:r>
        <w:rPr>
          <w:rFonts w:hint="eastAsia" w:ascii="仿宋_GB2312" w:hAnsi="仿宋_GB2312" w:eastAsia="仿宋_GB2312" w:cs="仿宋_GB2312"/>
          <w:snapToGrid w:val="0"/>
          <w:color w:val="auto"/>
          <w:spacing w:val="13"/>
          <w:kern w:val="0"/>
          <w:sz w:val="32"/>
          <w:szCs w:val="32"/>
          <w:lang w:val="en-US" w:eastAsia="zh-CN"/>
        </w:rPr>
        <w:t>个交通道路特色气象自动站。</w:t>
      </w:r>
    </w:p>
    <w:p w14:paraId="772ED083">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left="0" w:right="0" w:firstLine="692"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1C13929A">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center"/>
        <w:textAlignment w:val="baseline"/>
        <w:outlineLvl w:val="1"/>
        <w:rPr>
          <w:rFonts w:hint="eastAsia" w:ascii="黑体" w:hAnsi="黑体" w:eastAsia="黑体" w:cs="黑体"/>
          <w:snapToGrid w:val="0"/>
          <w:color w:val="000000"/>
          <w:spacing w:val="3"/>
          <w:kern w:val="0"/>
          <w:sz w:val="32"/>
          <w:szCs w:val="32"/>
          <w:lang w:val="en-US" w:eastAsia="zh-CN"/>
        </w:rPr>
      </w:pPr>
      <w:r>
        <w:rPr>
          <w:rFonts w:hint="eastAsia" w:ascii="仿宋_GB2312" w:hAnsi="仿宋_GB2312" w:eastAsia="仿宋_GB2312" w:cs="仿宋_GB2312"/>
          <w:snapToGrid w:val="0"/>
          <w:color w:val="000000"/>
          <w:spacing w:val="3"/>
          <w:kern w:val="0"/>
          <w:sz w:val="32"/>
          <w:szCs w:val="32"/>
          <w:lang w:val="en-US" w:eastAsia="zh-CN" w:bidi="ar-SA"/>
        </w:rPr>
        <w:t>　　</w:t>
      </w:r>
      <w:r>
        <w:rPr>
          <w:rFonts w:hint="eastAsia" w:ascii="黑体" w:hAnsi="黑体" w:eastAsia="黑体" w:cs="黑体"/>
          <w:snapToGrid w:val="0"/>
          <w:color w:val="000000"/>
          <w:spacing w:val="3"/>
          <w:kern w:val="0"/>
          <w:sz w:val="32"/>
          <w:szCs w:val="32"/>
          <w:lang w:val="en-US" w:eastAsia="zh-CN" w:bidi="ar-SA"/>
        </w:rPr>
        <w:t>第五章  保障措施</w:t>
      </w:r>
    </w:p>
    <w:p w14:paraId="3E650E61">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napToGrid w:val="0"/>
          <w:color w:val="auto"/>
          <w:spacing w:val="13"/>
          <w:kern w:val="0"/>
          <w:sz w:val="32"/>
          <w:szCs w:val="32"/>
          <w:lang w:val="en-US" w:eastAsia="zh-CN"/>
        </w:rPr>
        <w:t>　　各有关部门、基层组织要将实施本方案作为防范化解重大安全风险的重要任务，结合实际编制本行业、本区域防灾减灾实施方案，细化任务分工和阶段目标，明确责任主体。要优化整合资源，健全跨部门方案实施的协同配合机制，统筹推进主要任务与重大工程项目实施，确保各项目标如期完成。要加强方案实施宣传引导，营造有利于规划落实的良好氛围。</w:t>
      </w:r>
    </w:p>
    <w:p w14:paraId="72FA3120">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0" w:firstLineChars="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napToGrid w:val="0"/>
          <w:color w:val="000000"/>
          <w:spacing w:val="3"/>
          <w:kern w:val="0"/>
          <w:sz w:val="32"/>
          <w:szCs w:val="32"/>
          <w:lang w:val="en-US" w:eastAsia="zh-CN"/>
        </w:rPr>
        <w:t>　　坚持科学施策，强化韧性建设。</w:t>
      </w:r>
      <w:r>
        <w:rPr>
          <w:rFonts w:hint="eastAsia" w:ascii="仿宋_GB2312" w:hAnsi="仿宋_GB2312" w:eastAsia="仿宋_GB2312" w:cs="仿宋_GB2312"/>
          <w:snapToGrid w:val="0"/>
          <w:color w:val="auto"/>
          <w:spacing w:val="13"/>
          <w:kern w:val="0"/>
          <w:sz w:val="32"/>
          <w:szCs w:val="32"/>
          <w:lang w:val="en-US" w:eastAsia="zh-CN"/>
        </w:rPr>
        <w:t>各主管部门、行业部门和基层组织要将县域综合防灾韧性建设摆在更加突出位置，把握快速建设发展机遇，提升综合防灾减灾韧性水平。统一规划建设应急基础设施库，为灾害预测分析、预案编制、应急辅助决策等综合安全管理工作提供支撑。</w:t>
      </w:r>
    </w:p>
    <w:p w14:paraId="28819326">
      <w:pPr>
        <w:keepNext w:val="0"/>
        <w:keepLines w:val="0"/>
        <w:pageBreakBefore w:val="0"/>
        <w:widowControl w:val="0"/>
        <w:numPr>
          <w:ilvl w:val="0"/>
          <w:numId w:val="0"/>
        </w:numPr>
        <w:kinsoku/>
        <w:wordWrap/>
        <w:overflowPunct/>
        <w:topLinePunct w:val="0"/>
        <w:autoSpaceDE/>
        <w:autoSpaceDN/>
        <w:bidi w:val="0"/>
        <w:adjustRightInd/>
        <w:snapToGrid/>
        <w:spacing w:after="0" w:afterLines="0" w:afterAutospacing="0" w:line="560" w:lineRule="exact"/>
        <w:ind w:right="0" w:firstLine="0" w:firstLineChars="0"/>
        <w:jc w:val="left"/>
        <w:textAlignment w:val="auto"/>
        <w:outlineLvl w:val="9"/>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napToGrid w:val="0"/>
          <w:color w:val="000000"/>
          <w:spacing w:val="3"/>
          <w:kern w:val="0"/>
          <w:sz w:val="32"/>
          <w:szCs w:val="32"/>
          <w:lang w:val="en-US" w:eastAsia="zh-CN"/>
        </w:rPr>
        <w:t>　　坚持分级分类负责，强化资金保障。</w:t>
      </w:r>
      <w:r>
        <w:rPr>
          <w:rFonts w:hint="eastAsia" w:ascii="仿宋_GB2312" w:hAnsi="仿宋_GB2312" w:eastAsia="仿宋_GB2312" w:cs="仿宋_GB2312"/>
          <w:snapToGrid w:val="0"/>
          <w:color w:val="auto"/>
          <w:spacing w:val="13"/>
          <w:kern w:val="0"/>
          <w:sz w:val="32"/>
          <w:szCs w:val="32"/>
          <w:lang w:val="en-US" w:eastAsia="zh-CN"/>
        </w:rPr>
        <w:t>完善政府投入、分级分类负责的防灾减灾救灾经费保障机制和应急征用补偿机制。所需基本建设、设备购置、信息化建设等资金，按照尽力而为、量力而行原则，在充分利用现有资源基础上合理安排，推动方案相关任务和工程项目落地见效。</w:t>
      </w:r>
    </w:p>
    <w:p w14:paraId="41B0D6D3">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65" w:firstLineChars="0"/>
        <w:jc w:val="both"/>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r>
        <w:rPr>
          <w:rFonts w:hint="eastAsia" w:ascii="仿宋_GB2312" w:hAnsi="仿宋_GB2312" w:eastAsia="仿宋_GB2312" w:cs="仿宋_GB2312"/>
          <w:snapToGrid w:val="0"/>
          <w:color w:val="000000"/>
          <w:spacing w:val="3"/>
          <w:kern w:val="0"/>
          <w:sz w:val="32"/>
          <w:szCs w:val="32"/>
          <w:lang w:val="en-US" w:eastAsia="zh-CN" w:bidi="ar-SA"/>
        </w:rPr>
        <w:t>坚持共建共治，强化保障支持。</w:t>
      </w:r>
      <w:r>
        <w:rPr>
          <w:rFonts w:hint="eastAsia" w:ascii="仿宋_GB2312" w:hAnsi="仿宋_GB2312" w:eastAsia="仿宋_GB2312" w:cs="仿宋_GB2312"/>
          <w:snapToGrid w:val="0"/>
          <w:color w:val="auto"/>
          <w:spacing w:val="13"/>
          <w:kern w:val="0"/>
          <w:sz w:val="32"/>
          <w:szCs w:val="32"/>
          <w:lang w:val="en-US" w:eastAsia="zh-CN"/>
        </w:rPr>
        <w:t>要健全社会力量参与机制，搭建统筹协调、服务指导平台，培育社会力量深度参与综合防灾减灾韧性治理，探索建立政府、企业、社会服务组织间高效合作模式。鼓励商会、慈善组织、志愿者团体等社会组织积极参与综合防灾减灾工作，充分利用各类社会资源及专业能力，构建全方位、全领域的社会服务体系。</w:t>
      </w:r>
    </w:p>
    <w:p w14:paraId="0AE0C526">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65" w:firstLineChars="0"/>
        <w:jc w:val="both"/>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sectPr>
          <w:footerReference r:id="rId14" w:type="default"/>
          <w:pgSz w:w="11906" w:h="16838"/>
          <w:pgMar w:top="2098" w:right="1474" w:bottom="1984" w:left="1587" w:header="851" w:footer="992" w:gutter="0"/>
          <w:pgNumType w:start="1"/>
          <w:cols w:space="425" w:num="1"/>
          <w:rtlGutter w:val="0"/>
          <w:docGrid w:type="linesAndChars" w:linePitch="579" w:charSpace="21686"/>
        </w:sectPr>
      </w:pPr>
    </w:p>
    <w:p w14:paraId="641BF181">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65" w:firstLineChars="0"/>
        <w:jc w:val="both"/>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45E6C148">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left="0" w:leftChars="0" w:firstLine="0" w:firstLineChars="0"/>
        <w:jc w:val="both"/>
        <w:textAlignment w:val="auto"/>
        <w:outlineLvl w:val="0"/>
        <w:rPr>
          <w:rFonts w:hint="eastAsia" w:ascii="宋体" w:hAnsi="宋体" w:eastAsia="宋体" w:cs="宋体"/>
          <w:b w:val="0"/>
          <w:bCs w:val="0"/>
          <w:color w:val="auto"/>
          <w:spacing w:val="-6"/>
          <w:sz w:val="52"/>
          <w:szCs w:val="52"/>
          <w:lang w:eastAsia="zh-CN"/>
        </w:rPr>
      </w:pPr>
    </w:p>
    <w:p w14:paraId="1B7243C2">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1839" w:firstLineChars="300"/>
        <w:jc w:val="both"/>
        <w:textAlignment w:val="auto"/>
        <w:outlineLvl w:val="0"/>
        <w:rPr>
          <w:rFonts w:hint="eastAsia" w:ascii="宋体" w:hAnsi="宋体" w:eastAsia="宋体" w:cs="宋体"/>
          <w:b w:val="0"/>
          <w:bCs w:val="0"/>
          <w:color w:val="auto"/>
          <w:spacing w:val="-6"/>
          <w:sz w:val="52"/>
          <w:szCs w:val="52"/>
          <w:lang w:eastAsia="zh-CN"/>
        </w:rPr>
      </w:pPr>
    </w:p>
    <w:p w14:paraId="7174D944">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left="0" w:leftChars="0" w:firstLine="0" w:firstLineChars="0"/>
        <w:jc w:val="both"/>
        <w:textAlignment w:val="auto"/>
        <w:outlineLvl w:val="0"/>
        <w:rPr>
          <w:rFonts w:hint="eastAsia" w:ascii="宋体" w:hAnsi="宋体" w:eastAsia="宋体" w:cs="宋体"/>
          <w:b w:val="0"/>
          <w:bCs w:val="0"/>
          <w:color w:val="auto"/>
          <w:spacing w:val="-6"/>
          <w:sz w:val="52"/>
          <w:szCs w:val="52"/>
          <w:lang w:eastAsia="zh-CN"/>
        </w:rPr>
      </w:pPr>
    </w:p>
    <w:p w14:paraId="7F897421">
      <w:pPr>
        <w:keepNext w:val="0"/>
        <w:keepLines w:val="0"/>
        <w:pageBreakBefore w:val="0"/>
        <w:widowControl w:val="0"/>
        <w:kinsoku/>
        <w:wordWrap/>
        <w:overflowPunct/>
        <w:topLinePunct w:val="0"/>
        <w:autoSpaceDE/>
        <w:autoSpaceDN/>
        <w:bidi w:val="0"/>
        <w:adjustRightInd w:val="0"/>
        <w:snapToGrid w:val="0"/>
        <w:spacing w:after="0" w:afterLines="-2147483648" w:line="1000" w:lineRule="exact"/>
        <w:ind w:firstLine="1839" w:firstLineChars="300"/>
        <w:jc w:val="both"/>
        <w:textAlignment w:val="auto"/>
        <w:outlineLvl w:val="0"/>
        <w:rPr>
          <w:rFonts w:hint="eastAsia" w:ascii="宋体" w:hAnsi="宋体" w:eastAsia="宋体" w:cs="宋体"/>
          <w:b w:val="0"/>
          <w:bCs w:val="0"/>
          <w:color w:val="auto"/>
          <w:spacing w:val="-6"/>
          <w:sz w:val="52"/>
          <w:szCs w:val="52"/>
          <w:lang w:eastAsia="zh-CN"/>
        </w:rPr>
      </w:pPr>
    </w:p>
    <w:p w14:paraId="560BA6E0">
      <w:pPr>
        <w:keepNext w:val="0"/>
        <w:keepLines w:val="0"/>
        <w:pageBreakBefore w:val="0"/>
        <w:widowControl w:val="0"/>
        <w:kinsoku/>
        <w:wordWrap/>
        <w:overflowPunct/>
        <w:topLinePunct w:val="0"/>
        <w:autoSpaceDE/>
        <w:autoSpaceDN/>
        <w:bidi w:val="0"/>
        <w:adjustRightInd w:val="0"/>
        <w:snapToGrid w:val="0"/>
        <w:spacing w:after="0" w:afterLines="-2147483648" w:line="1000" w:lineRule="exact"/>
        <w:jc w:val="both"/>
        <w:textAlignment w:val="auto"/>
        <w:outlineLvl w:val="0"/>
        <w:rPr>
          <w:rFonts w:hint="eastAsia" w:ascii="宋体" w:hAnsi="宋体" w:eastAsia="宋体" w:cs="宋体"/>
          <w:b w:val="0"/>
          <w:bCs w:val="0"/>
          <w:color w:val="auto"/>
          <w:spacing w:val="-6"/>
          <w:sz w:val="52"/>
          <w:szCs w:val="52"/>
          <w:lang w:val="en-US" w:eastAsia="zh-CN"/>
        </w:rPr>
      </w:pPr>
    </w:p>
    <w:p w14:paraId="150345AB">
      <w:pPr>
        <w:keepNext w:val="0"/>
        <w:keepLines w:val="0"/>
        <w:pageBreakBefore w:val="0"/>
        <w:widowControl w:val="0"/>
        <w:kinsoku/>
        <w:wordWrap/>
        <w:overflowPunct/>
        <w:topLinePunct w:val="0"/>
        <w:autoSpaceDE/>
        <w:autoSpaceDN/>
        <w:bidi w:val="0"/>
        <w:adjustRightInd w:val="0"/>
        <w:snapToGrid w:val="0"/>
        <w:spacing w:after="0" w:afterLines="-2147483648" w:line="1000" w:lineRule="exact"/>
        <w:jc w:val="both"/>
        <w:textAlignment w:val="auto"/>
        <w:outlineLvl w:val="0"/>
        <w:rPr>
          <w:rFonts w:hint="eastAsia" w:ascii="宋体" w:hAnsi="宋体" w:eastAsia="宋体" w:cs="宋体"/>
          <w:b w:val="0"/>
          <w:bCs w:val="0"/>
          <w:color w:val="auto"/>
          <w:spacing w:val="-6"/>
          <w:sz w:val="52"/>
          <w:szCs w:val="52"/>
          <w:lang w:val="en-US" w:eastAsia="zh-CN"/>
        </w:rPr>
      </w:pPr>
    </w:p>
    <w:p w14:paraId="3794F6DC">
      <w:pPr>
        <w:widowControl/>
        <w:kinsoku w:val="0"/>
        <w:autoSpaceDE w:val="0"/>
        <w:autoSpaceDN w:val="0"/>
        <w:adjustRightInd w:val="0"/>
        <w:snapToGrid w:val="0"/>
        <w:spacing w:before="133" w:after="0" w:afterLines="0" w:line="189" w:lineRule="auto"/>
        <w:jc w:val="both"/>
        <w:textAlignment w:val="baseline"/>
        <w:outlineLvl w:val="0"/>
        <w:rPr>
          <w:rFonts w:hint="eastAsia" w:ascii="微软雅黑" w:hAnsi="微软雅黑" w:eastAsia="微软雅黑" w:cs="微软雅黑"/>
          <w:snapToGrid w:val="0"/>
          <w:color w:val="auto"/>
          <w:spacing w:val="-15"/>
          <w:w w:val="96"/>
          <w:kern w:val="0"/>
          <w:sz w:val="31"/>
          <w:szCs w:val="31"/>
          <w:lang w:val="en-US" w:eastAsia="zh-CN"/>
        </w:rPr>
      </w:pPr>
    </w:p>
    <w:p w14:paraId="59F4E871">
      <w:pPr>
        <w:widowControl/>
        <w:kinsoku w:val="0"/>
        <w:autoSpaceDE w:val="0"/>
        <w:autoSpaceDN w:val="0"/>
        <w:adjustRightInd w:val="0"/>
        <w:snapToGrid w:val="0"/>
        <w:spacing w:before="133" w:after="0" w:afterLines="0" w:line="189" w:lineRule="auto"/>
        <w:ind w:firstLine="744" w:firstLineChars="200"/>
        <w:jc w:val="center"/>
        <w:textAlignment w:val="baseline"/>
        <w:outlineLvl w:val="0"/>
        <w:rPr>
          <w:rFonts w:hint="eastAsia" w:ascii="微软雅黑" w:hAnsi="微软雅黑" w:eastAsia="微软雅黑" w:cs="微软雅黑"/>
          <w:snapToGrid w:val="0"/>
          <w:color w:val="auto"/>
          <w:spacing w:val="-15"/>
          <w:w w:val="96"/>
          <w:kern w:val="0"/>
          <w:sz w:val="31"/>
          <w:szCs w:val="31"/>
          <w:lang w:val="en-US" w:eastAsia="zh-CN"/>
        </w:rPr>
      </w:pPr>
    </w:p>
    <w:p w14:paraId="14519990">
      <w:pPr>
        <w:widowControl/>
        <w:kinsoku w:val="0"/>
        <w:autoSpaceDE w:val="0"/>
        <w:autoSpaceDN w:val="0"/>
        <w:adjustRightInd w:val="0"/>
        <w:snapToGrid w:val="0"/>
        <w:spacing w:before="133" w:after="0" w:afterLines="0" w:line="189" w:lineRule="auto"/>
        <w:ind w:firstLine="744" w:firstLineChars="200"/>
        <w:jc w:val="center"/>
        <w:textAlignment w:val="baseline"/>
        <w:outlineLvl w:val="0"/>
        <w:rPr>
          <w:rFonts w:hint="eastAsia" w:ascii="微软雅黑" w:hAnsi="微软雅黑" w:eastAsia="微软雅黑" w:cs="微软雅黑"/>
          <w:snapToGrid w:val="0"/>
          <w:color w:val="auto"/>
          <w:spacing w:val="-15"/>
          <w:w w:val="96"/>
          <w:kern w:val="0"/>
          <w:sz w:val="31"/>
          <w:szCs w:val="31"/>
          <w:lang w:val="en-US" w:eastAsia="zh-CN"/>
        </w:rPr>
        <w:sectPr>
          <w:footerReference r:id="rId15" w:type="default"/>
          <w:pgSz w:w="11906" w:h="16838"/>
          <w:pgMar w:top="2098" w:right="1474" w:bottom="1984" w:left="1587" w:header="0" w:footer="0" w:gutter="0"/>
          <w:cols w:space="720" w:num="1"/>
          <w:rtlGutter w:val="0"/>
          <w:docGrid w:type="linesAndChars" w:linePitch="579" w:charSpace="21686"/>
        </w:sectPr>
      </w:pPr>
    </w:p>
    <w:p w14:paraId="1DE5C92F">
      <w:pPr>
        <w:tabs>
          <w:tab w:val="center" w:pos="4482"/>
          <w:tab w:val="left" w:pos="8207"/>
        </w:tabs>
        <w:spacing w:before="0" w:beforeLines="0" w:after="0" w:afterLines="0" w:line="240" w:lineRule="auto"/>
        <w:ind w:left="0" w:leftChars="0" w:right="0" w:rightChars="0" w:firstLine="0" w:firstLineChars="0"/>
        <w:jc w:val="center"/>
        <w:rPr>
          <w:rFonts w:hint="eastAsia" w:ascii="宋体" w:hAnsi="宋体" w:eastAsia="宋体" w:cstheme="minorBidi"/>
          <w:kern w:val="2"/>
          <w:sz w:val="21"/>
          <w:szCs w:val="21"/>
          <w:lang w:val="en-US" w:eastAsia="zh-CN" w:bidi="ar-SA"/>
        </w:rPr>
      </w:pPr>
      <w:r>
        <w:rPr>
          <w:rFonts w:hint="eastAsia" w:ascii="宋体" w:hAnsi="宋体" w:eastAsia="宋体" w:cstheme="minorBidi"/>
          <w:kern w:val="2"/>
          <w:sz w:val="21"/>
          <w:szCs w:val="21"/>
          <w:lang w:val="en-US" w:eastAsia="zh-CN" w:bidi="ar-SA"/>
        </w:rPr>
        <w:tab/>
      </w:r>
    </w:p>
    <w:p w14:paraId="1A84C0E8">
      <w:pPr>
        <w:tabs>
          <w:tab w:val="center" w:pos="4482"/>
          <w:tab w:val="left" w:pos="8207"/>
        </w:tabs>
        <w:spacing w:before="0" w:beforeLines="0" w:after="0" w:afterLines="0" w:line="240" w:lineRule="auto"/>
        <w:ind w:left="0" w:leftChars="0" w:right="0" w:rightChars="0" w:firstLine="0" w:firstLineChars="0"/>
        <w:jc w:val="center"/>
      </w:pPr>
      <w:sdt>
        <w:sdtPr>
          <w:rPr>
            <w:rFonts w:ascii="宋体" w:hAnsi="宋体" w:eastAsia="宋体" w:cstheme="minorBidi"/>
            <w:kern w:val="2"/>
            <w:sz w:val="21"/>
            <w:szCs w:val="21"/>
            <w:lang w:val="en-US" w:eastAsia="zh-CN" w:bidi="ar-SA"/>
          </w:rPr>
          <w:id w:val="147461947"/>
          <w:showingPlcHdr/>
          <w15:color w:val="DBDBDB"/>
          <w:docPartObj>
            <w:docPartGallery w:val="Table of Contents"/>
            <w:docPartUnique/>
          </w:docPartObj>
        </w:sdtPr>
        <w:sdtEndPr>
          <w:rPr>
            <w:rFonts w:hint="eastAsia" w:ascii="仿宋" w:hAnsi="仿宋" w:eastAsia="仿宋" w:cs="仿宋"/>
            <w:snapToGrid w:val="0"/>
            <w:color w:val="000000"/>
            <w:spacing w:val="-19"/>
            <w:w w:val="98"/>
            <w:kern w:val="0"/>
            <w:sz w:val="28"/>
            <w:szCs w:val="28"/>
            <w:lang w:val="en-US" w:eastAsia="zh-CN" w:bidi="ar-SA"/>
          </w:rPr>
        </w:sdtEndPr>
        <w:sdtContent>
          <w:r>
            <w:rPr>
              <w:rFonts w:hint="eastAsia" w:ascii="宋体" w:hAnsi="宋体" w:eastAsia="宋体" w:cstheme="minorBidi"/>
              <w:kern w:val="2"/>
              <w:sz w:val="21"/>
              <w:szCs w:val="21"/>
              <w:lang w:val="en-US" w:eastAsia="zh-CN" w:bidi="ar-SA"/>
            </w:rPr>
            <w:t xml:space="preserve">     </w:t>
          </w:r>
        </w:sdtContent>
      </w:sdt>
    </w:p>
    <w:p w14:paraId="23DB3A3F">
      <w:pPr>
        <w:widowControl/>
        <w:kinsoku w:val="0"/>
        <w:autoSpaceDE w:val="0"/>
        <w:autoSpaceDN w:val="0"/>
        <w:spacing w:before="184" w:line="182" w:lineRule="auto"/>
        <w:ind w:right="1532" w:firstLine="0" w:firstLineChars="0"/>
        <w:jc w:val="left"/>
        <w:textAlignment w:val="baseline"/>
        <w:rPr>
          <w:rFonts w:hint="eastAsia" w:ascii="方正小标宋简体" w:hAnsi="方正小标宋简体" w:eastAsia="方正小标宋简体" w:cs="方正小标宋简体"/>
          <w:snapToGrid w:val="0"/>
          <w:color w:val="000000"/>
          <w:spacing w:val="-12"/>
          <w:kern w:val="0"/>
          <w:sz w:val="52"/>
          <w:szCs w:val="52"/>
          <w:lang w:eastAsia="en-US"/>
        </w:rPr>
      </w:pPr>
    </w:p>
    <w:p w14:paraId="3326D701">
      <w:pPr>
        <w:keepNext w:val="0"/>
        <w:keepLines w:val="0"/>
        <w:pageBreakBefore w:val="0"/>
        <w:widowControl w:val="0"/>
        <w:kinsoku/>
        <w:wordWrap/>
        <w:overflowPunct/>
        <w:topLinePunct w:val="0"/>
        <w:autoSpaceDE/>
        <w:autoSpaceDN/>
        <w:bidi w:val="0"/>
        <w:adjustRightInd w:val="0"/>
        <w:snapToGrid w:val="0"/>
        <w:spacing w:line="1000" w:lineRule="exact"/>
        <w:ind w:firstLine="1875" w:firstLineChars="300"/>
        <w:jc w:val="both"/>
        <w:textAlignment w:val="auto"/>
        <w:outlineLvl w:val="9"/>
        <w:rPr>
          <w:rFonts w:hint="eastAsia" w:ascii="方正小标宋简体" w:hAnsi="方正小标宋简体" w:eastAsia="方正小标宋简体" w:cs="方正小标宋简体"/>
          <w:b/>
          <w:bCs/>
          <w:snapToGrid w:val="0"/>
          <w:color w:val="auto"/>
          <w:spacing w:val="0"/>
          <w:kern w:val="0"/>
          <w:sz w:val="52"/>
          <w:szCs w:val="52"/>
          <w:lang w:val="en-US" w:eastAsia="zh-CN"/>
        </w:rPr>
      </w:pPr>
      <w:r>
        <w:rPr>
          <w:rFonts w:hint="eastAsia" w:ascii="方正小标宋简体" w:hAnsi="方正小标宋简体" w:eastAsia="方正小标宋简体" w:cs="方正小标宋简体"/>
          <w:b/>
          <w:bCs/>
          <w:snapToGrid w:val="0"/>
          <w:color w:val="auto"/>
          <w:spacing w:val="0"/>
          <w:kern w:val="0"/>
          <w:sz w:val="52"/>
          <w:szCs w:val="52"/>
          <w:lang w:val="en-US" w:eastAsia="zh-CN"/>
        </w:rPr>
        <w:t>　墨玉县安全生产</w:t>
      </w:r>
    </w:p>
    <w:p w14:paraId="4D75A68F">
      <w:pPr>
        <w:keepNext w:val="0"/>
        <w:keepLines w:val="0"/>
        <w:pageBreakBefore w:val="0"/>
        <w:widowControl w:val="0"/>
        <w:kinsoku/>
        <w:wordWrap/>
        <w:overflowPunct/>
        <w:topLinePunct w:val="0"/>
        <w:autoSpaceDE/>
        <w:autoSpaceDN/>
        <w:bidi w:val="0"/>
        <w:adjustRightInd w:val="0"/>
        <w:snapToGrid w:val="0"/>
        <w:spacing w:line="1000" w:lineRule="exact"/>
        <w:ind w:firstLine="0" w:firstLineChars="0"/>
        <w:jc w:val="both"/>
        <w:textAlignment w:val="auto"/>
        <w:outlineLvl w:val="9"/>
        <w:rPr>
          <w:rFonts w:hint="eastAsia" w:ascii="方正小标宋简体" w:hAnsi="方正小标宋简体" w:eastAsia="方正小标宋简体" w:cs="方正小标宋简体"/>
          <w:b/>
          <w:bCs/>
          <w:snapToGrid w:val="0"/>
          <w:color w:val="auto"/>
          <w:spacing w:val="0"/>
          <w:kern w:val="0"/>
          <w:sz w:val="52"/>
          <w:szCs w:val="52"/>
          <w:lang w:val="en-US" w:eastAsia="zh-CN"/>
        </w:rPr>
      </w:pPr>
      <w:r>
        <w:rPr>
          <w:rFonts w:hint="eastAsia" w:ascii="方正小标宋简体" w:hAnsi="方正小标宋简体" w:eastAsia="方正小标宋简体" w:cs="方正小标宋简体"/>
          <w:b/>
          <w:bCs/>
          <w:snapToGrid w:val="0"/>
          <w:color w:val="auto"/>
          <w:spacing w:val="0"/>
          <w:kern w:val="0"/>
          <w:sz w:val="52"/>
          <w:szCs w:val="52"/>
          <w:lang w:val="en-US" w:eastAsia="zh-CN"/>
        </w:rPr>
        <w:t>“十五五”实施方案（2026—2030年）</w:t>
      </w:r>
    </w:p>
    <w:p w14:paraId="2CDCBB52">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330A7E5B">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38AC4C1F">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0A2B486A">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4884D3EC">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596AE9EB">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5418E7C3">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65F427FC">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51B3E4DD">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45E29565">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254F51CA">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2452603A">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7B1C75DE">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1588F46F">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37904CA6">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25797D36">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14594973">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73E0F036">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6DE20F8A">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192C19F9">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452A55AB">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3B6041BF">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057550B7">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180443BF">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3CAE0E77">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1DE7C448">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22EF96F3">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5C27F3B0">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13945824">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37F168AB">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2E1F0632">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67AC1930">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4A3F75AA">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2D269766">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32A2D334">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47DA0FF2">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123C3D4C">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34CF198A">
      <w:pPr>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21"/>
          <w:szCs w:val="21"/>
          <w:lang w:val="en-US" w:eastAsia="en-US" w:bidi="ar-SA"/>
        </w:rPr>
      </w:pPr>
    </w:p>
    <w:p w14:paraId="0908DDCB">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36C50585">
      <w:pPr>
        <w:widowControl/>
        <w:kinsoku w:val="0"/>
        <w:autoSpaceDE w:val="0"/>
        <w:autoSpaceDN w:val="0"/>
        <w:spacing w:before="133" w:line="189" w:lineRule="auto"/>
        <w:ind w:left="1791" w:firstLine="0" w:firstLineChars="0"/>
        <w:jc w:val="both"/>
        <w:textAlignment w:val="baseline"/>
        <w:rPr>
          <w:rFonts w:hint="eastAsia" w:ascii="黑体" w:hAnsi="黑体" w:eastAsia="黑体" w:cs="黑体"/>
          <w:snapToGrid w:val="0"/>
          <w:color w:val="000000"/>
          <w:spacing w:val="0"/>
          <w:kern w:val="0"/>
          <w:sz w:val="32"/>
          <w:szCs w:val="32"/>
          <w:lang w:eastAsia="en-US"/>
        </w:rPr>
      </w:pPr>
      <w:r>
        <w:rPr>
          <w:rFonts w:hint="eastAsia" w:ascii="黑体" w:hAnsi="黑体" w:eastAsia="黑体" w:cs="黑体"/>
          <w:snapToGrid w:val="0"/>
          <w:color w:val="000000"/>
          <w:spacing w:val="-15"/>
          <w:w w:val="96"/>
          <w:kern w:val="0"/>
          <w:sz w:val="32"/>
          <w:szCs w:val="32"/>
          <w:lang w:eastAsia="en-US"/>
        </w:rPr>
        <w:t>新疆维吾尔自治区和田地区</w:t>
      </w:r>
      <w:r>
        <w:rPr>
          <w:rFonts w:hint="eastAsia" w:ascii="黑体" w:hAnsi="黑体" w:eastAsia="黑体" w:cs="黑体"/>
          <w:snapToGrid w:val="0"/>
          <w:color w:val="000000"/>
          <w:spacing w:val="-15"/>
          <w:w w:val="96"/>
          <w:kern w:val="0"/>
          <w:sz w:val="32"/>
          <w:szCs w:val="32"/>
          <w:lang w:val="en-US" w:eastAsia="zh-CN"/>
        </w:rPr>
        <w:t>墨玉县</w:t>
      </w:r>
      <w:r>
        <w:rPr>
          <w:rFonts w:hint="eastAsia" w:ascii="黑体" w:hAnsi="黑体" w:eastAsia="黑体" w:cs="黑体"/>
          <w:snapToGrid w:val="0"/>
          <w:color w:val="000000"/>
          <w:spacing w:val="-15"/>
          <w:w w:val="96"/>
          <w:kern w:val="0"/>
          <w:sz w:val="32"/>
          <w:szCs w:val="32"/>
          <w:lang w:eastAsia="en-US"/>
        </w:rPr>
        <w:t>应急管理局</w:t>
      </w:r>
    </w:p>
    <w:p w14:paraId="0CB7F2D7">
      <w:pPr>
        <w:widowControl/>
        <w:kinsoku w:val="0"/>
        <w:autoSpaceDE w:val="0"/>
        <w:autoSpaceDN w:val="0"/>
        <w:spacing w:before="145" w:line="185" w:lineRule="auto"/>
        <w:ind w:left="3649" w:firstLine="0" w:firstLineChars="0"/>
        <w:jc w:val="both"/>
        <w:textAlignment w:val="baseline"/>
        <w:rPr>
          <w:rFonts w:hint="eastAsia" w:ascii="黑体" w:hAnsi="黑体" w:eastAsia="黑体" w:cs="黑体"/>
          <w:snapToGrid w:val="0"/>
          <w:color w:val="000000"/>
          <w:spacing w:val="0"/>
          <w:kern w:val="0"/>
          <w:sz w:val="32"/>
          <w:szCs w:val="32"/>
          <w:lang w:eastAsia="en-US"/>
        </w:rPr>
      </w:pPr>
      <w:r>
        <w:rPr>
          <w:rFonts w:hint="eastAsia" w:ascii="黑体" w:hAnsi="黑体" w:eastAsia="黑体" w:cs="黑体"/>
          <w:snapToGrid w:val="0"/>
          <w:color w:val="000000"/>
          <w:spacing w:val="-4"/>
          <w:kern w:val="0"/>
          <w:sz w:val="32"/>
          <w:szCs w:val="32"/>
          <w:lang w:eastAsia="en-US"/>
        </w:rPr>
        <w:t>2025年12月</w:t>
      </w:r>
    </w:p>
    <w:p w14:paraId="4E477F2B">
      <w:pPr>
        <w:widowControl/>
        <w:kinsoku w:val="0"/>
        <w:autoSpaceDE w:val="0"/>
        <w:autoSpaceDN w:val="0"/>
        <w:spacing w:line="185" w:lineRule="auto"/>
        <w:ind w:firstLine="0" w:firstLineChars="0"/>
        <w:jc w:val="both"/>
        <w:textAlignment w:val="baseline"/>
        <w:rPr>
          <w:rFonts w:hint="eastAsia" w:ascii="黑体" w:hAnsi="黑体" w:eastAsia="黑体" w:cs="黑体"/>
          <w:snapToGrid w:val="0"/>
          <w:color w:val="000000"/>
          <w:spacing w:val="0"/>
          <w:kern w:val="0"/>
          <w:sz w:val="32"/>
          <w:szCs w:val="32"/>
          <w:lang w:eastAsia="en-US"/>
        </w:rPr>
        <w:sectPr>
          <w:footerReference r:id="rId16" w:type="default"/>
          <w:pgSz w:w="11906" w:h="16838"/>
          <w:pgMar w:top="1440" w:right="1800" w:bottom="1440" w:left="1800" w:header="850" w:footer="992" w:gutter="0"/>
          <w:pgNumType w:start="1"/>
          <w:cols w:space="0" w:num="1"/>
          <w:rtlGutter w:val="0"/>
          <w:docGrid w:type="linesAndChars" w:linePitch="579" w:charSpace="21686"/>
        </w:sectPr>
      </w:pPr>
    </w:p>
    <w:p w14:paraId="48C614E1">
      <w:pPr>
        <w:widowControl/>
        <w:kinsoku w:val="0"/>
        <w:autoSpaceDE w:val="0"/>
        <w:autoSpaceDN w:val="0"/>
        <w:spacing w:line="185" w:lineRule="auto"/>
        <w:ind w:firstLine="0" w:firstLineChars="0"/>
        <w:jc w:val="both"/>
        <w:textAlignment w:val="baseline"/>
        <w:rPr>
          <w:rFonts w:hint="eastAsia" w:ascii="黑体" w:hAnsi="黑体" w:eastAsia="黑体" w:cs="黑体"/>
          <w:snapToGrid w:val="0"/>
          <w:color w:val="000000"/>
          <w:spacing w:val="0"/>
          <w:kern w:val="0"/>
          <w:sz w:val="32"/>
          <w:szCs w:val="32"/>
          <w:lang w:eastAsia="en-US"/>
        </w:rPr>
      </w:pPr>
    </w:p>
    <w:p w14:paraId="692CE3CC">
      <w:pPr>
        <w:widowControl/>
        <w:kinsoku w:val="0"/>
        <w:autoSpaceDE w:val="0"/>
        <w:autoSpaceDN w:val="0"/>
        <w:spacing w:line="185" w:lineRule="auto"/>
        <w:ind w:firstLine="0" w:firstLineChars="0"/>
        <w:jc w:val="both"/>
        <w:textAlignment w:val="baseline"/>
        <w:rPr>
          <w:rFonts w:hint="eastAsia" w:ascii="黑体" w:hAnsi="黑体" w:eastAsia="黑体" w:cs="黑体"/>
          <w:snapToGrid w:val="0"/>
          <w:color w:val="000000"/>
          <w:spacing w:val="0"/>
          <w:kern w:val="0"/>
          <w:sz w:val="32"/>
          <w:szCs w:val="32"/>
          <w:lang w:eastAsia="en-US"/>
        </w:rPr>
      </w:pPr>
    </w:p>
    <w:p w14:paraId="31473057">
      <w:pPr>
        <w:widowControl/>
        <w:kinsoku w:val="0"/>
        <w:autoSpaceDE w:val="0"/>
        <w:autoSpaceDN w:val="0"/>
        <w:spacing w:line="185" w:lineRule="auto"/>
        <w:ind w:firstLine="0" w:firstLineChars="0"/>
        <w:jc w:val="both"/>
        <w:textAlignment w:val="baseline"/>
        <w:rPr>
          <w:rFonts w:hint="eastAsia" w:ascii="黑体" w:hAnsi="黑体" w:eastAsia="黑体" w:cs="黑体"/>
          <w:snapToGrid w:val="0"/>
          <w:color w:val="000000"/>
          <w:spacing w:val="0"/>
          <w:kern w:val="0"/>
          <w:sz w:val="32"/>
          <w:szCs w:val="32"/>
          <w:lang w:eastAsia="en-US"/>
        </w:rPr>
      </w:pPr>
    </w:p>
    <w:p w14:paraId="18BDA836">
      <w:pPr>
        <w:widowControl/>
        <w:kinsoku w:val="0"/>
        <w:autoSpaceDE w:val="0"/>
        <w:autoSpaceDN w:val="0"/>
        <w:spacing w:line="185" w:lineRule="auto"/>
        <w:ind w:firstLine="0" w:firstLineChars="0"/>
        <w:jc w:val="both"/>
        <w:textAlignment w:val="baseline"/>
        <w:rPr>
          <w:rFonts w:hint="eastAsia" w:ascii="黑体" w:hAnsi="黑体" w:eastAsia="黑体" w:cs="黑体"/>
          <w:snapToGrid w:val="0"/>
          <w:color w:val="000000"/>
          <w:spacing w:val="0"/>
          <w:kern w:val="0"/>
          <w:sz w:val="32"/>
          <w:szCs w:val="32"/>
          <w:lang w:eastAsia="en-US"/>
        </w:rPr>
      </w:pPr>
    </w:p>
    <w:p w14:paraId="6E6A69F3">
      <w:pPr>
        <w:spacing w:line="185" w:lineRule="auto"/>
        <w:ind w:left="0" w:leftChars="0" w:firstLine="0" w:firstLineChars="0"/>
        <w:jc w:val="both"/>
        <w:rPr>
          <w:rFonts w:hint="eastAsia" w:ascii="黑体" w:hAnsi="黑体" w:eastAsia="黑体" w:cs="黑体"/>
          <w:sz w:val="32"/>
          <w:szCs w:val="32"/>
        </w:rPr>
      </w:pPr>
    </w:p>
    <w:p w14:paraId="4FAC62B4">
      <w:pPr>
        <w:spacing w:line="185" w:lineRule="auto"/>
        <w:ind w:left="0" w:leftChars="0" w:firstLine="0" w:firstLineChars="0"/>
        <w:jc w:val="both"/>
        <w:rPr>
          <w:rFonts w:hint="eastAsia" w:ascii="黑体" w:hAnsi="黑体" w:eastAsia="黑体" w:cs="黑体"/>
          <w:sz w:val="32"/>
          <w:szCs w:val="32"/>
        </w:rPr>
      </w:pPr>
    </w:p>
    <w:p w14:paraId="1B31223F">
      <w:pPr>
        <w:spacing w:line="185" w:lineRule="auto"/>
        <w:ind w:left="0" w:leftChars="0" w:firstLine="0" w:firstLineChars="0"/>
        <w:jc w:val="both"/>
        <w:rPr>
          <w:rFonts w:hint="eastAsia" w:ascii="黑体" w:hAnsi="黑体" w:eastAsia="黑体" w:cs="黑体"/>
          <w:sz w:val="32"/>
          <w:szCs w:val="32"/>
        </w:rPr>
      </w:pPr>
    </w:p>
    <w:p w14:paraId="2F2AA251">
      <w:pPr>
        <w:spacing w:line="185" w:lineRule="auto"/>
        <w:ind w:left="0" w:leftChars="0" w:firstLine="0" w:firstLineChars="0"/>
        <w:jc w:val="both"/>
        <w:rPr>
          <w:rFonts w:hint="eastAsia" w:ascii="黑体" w:hAnsi="黑体" w:eastAsia="黑体" w:cs="黑体"/>
          <w:sz w:val="32"/>
          <w:szCs w:val="32"/>
        </w:rPr>
      </w:pPr>
    </w:p>
    <w:p w14:paraId="5A518ED9">
      <w:pPr>
        <w:spacing w:line="185" w:lineRule="auto"/>
        <w:ind w:left="0" w:leftChars="0" w:firstLine="0" w:firstLineChars="0"/>
        <w:jc w:val="both"/>
        <w:rPr>
          <w:rFonts w:hint="eastAsia" w:ascii="黑体" w:hAnsi="黑体" w:eastAsia="黑体" w:cs="黑体"/>
          <w:sz w:val="32"/>
          <w:szCs w:val="32"/>
        </w:rPr>
      </w:pPr>
    </w:p>
    <w:p w14:paraId="4B5AC3CE">
      <w:pPr>
        <w:spacing w:line="185" w:lineRule="auto"/>
        <w:ind w:left="0" w:leftChars="0" w:firstLine="0" w:firstLineChars="0"/>
        <w:jc w:val="both"/>
        <w:rPr>
          <w:rFonts w:hint="eastAsia" w:ascii="黑体" w:hAnsi="黑体" w:eastAsia="黑体" w:cs="黑体"/>
          <w:sz w:val="32"/>
          <w:szCs w:val="32"/>
        </w:rPr>
      </w:pPr>
    </w:p>
    <w:p w14:paraId="11052C68">
      <w:pPr>
        <w:spacing w:line="185" w:lineRule="auto"/>
        <w:ind w:left="0" w:leftChars="0" w:firstLine="0" w:firstLineChars="0"/>
        <w:jc w:val="both"/>
        <w:rPr>
          <w:rFonts w:hint="eastAsia" w:ascii="黑体" w:hAnsi="黑体" w:eastAsia="黑体" w:cs="黑体"/>
          <w:sz w:val="32"/>
          <w:szCs w:val="32"/>
        </w:rPr>
      </w:pPr>
    </w:p>
    <w:p w14:paraId="5635CFC1">
      <w:pPr>
        <w:spacing w:line="185" w:lineRule="auto"/>
        <w:ind w:left="0" w:leftChars="0" w:firstLine="0" w:firstLineChars="0"/>
        <w:jc w:val="both"/>
        <w:rPr>
          <w:rFonts w:hint="eastAsia" w:ascii="黑体" w:hAnsi="黑体" w:eastAsia="黑体" w:cs="黑体"/>
          <w:sz w:val="32"/>
          <w:szCs w:val="32"/>
        </w:rPr>
      </w:pPr>
    </w:p>
    <w:p w14:paraId="362A30DA">
      <w:pPr>
        <w:spacing w:line="185" w:lineRule="auto"/>
        <w:ind w:left="0" w:leftChars="0" w:firstLine="0" w:firstLineChars="0"/>
        <w:jc w:val="both"/>
        <w:rPr>
          <w:rFonts w:hint="eastAsia" w:ascii="黑体" w:hAnsi="黑体" w:eastAsia="黑体" w:cs="黑体"/>
          <w:sz w:val="32"/>
          <w:szCs w:val="32"/>
        </w:rPr>
      </w:pPr>
    </w:p>
    <w:p w14:paraId="6B9A14FD">
      <w:pPr>
        <w:spacing w:line="185" w:lineRule="auto"/>
        <w:ind w:left="0" w:leftChars="0" w:firstLine="0" w:firstLineChars="0"/>
        <w:jc w:val="both"/>
        <w:rPr>
          <w:rFonts w:hint="eastAsia" w:ascii="黑体" w:hAnsi="黑体" w:eastAsia="黑体" w:cs="黑体"/>
          <w:sz w:val="32"/>
          <w:szCs w:val="32"/>
        </w:rPr>
      </w:pPr>
    </w:p>
    <w:p w14:paraId="3D554E19">
      <w:pPr>
        <w:spacing w:line="185" w:lineRule="auto"/>
        <w:ind w:left="0" w:leftChars="0" w:firstLine="0" w:firstLineChars="0"/>
        <w:jc w:val="both"/>
        <w:rPr>
          <w:rFonts w:hint="eastAsia" w:ascii="黑体" w:hAnsi="黑体" w:eastAsia="黑体" w:cs="黑体"/>
          <w:sz w:val="32"/>
          <w:szCs w:val="32"/>
        </w:rPr>
      </w:pPr>
    </w:p>
    <w:p w14:paraId="5A0C2FA6">
      <w:pPr>
        <w:spacing w:line="185" w:lineRule="auto"/>
        <w:ind w:left="0" w:leftChars="0" w:firstLine="0" w:firstLineChars="0"/>
        <w:jc w:val="both"/>
        <w:rPr>
          <w:rFonts w:hint="eastAsia" w:ascii="黑体" w:hAnsi="黑体" w:eastAsia="黑体" w:cs="黑体"/>
          <w:sz w:val="32"/>
          <w:szCs w:val="32"/>
        </w:rPr>
      </w:pPr>
    </w:p>
    <w:p w14:paraId="18DFE6A1">
      <w:pPr>
        <w:spacing w:line="185" w:lineRule="auto"/>
        <w:ind w:left="0" w:leftChars="0" w:firstLine="0" w:firstLineChars="0"/>
        <w:jc w:val="both"/>
        <w:rPr>
          <w:rFonts w:hint="eastAsia" w:ascii="黑体" w:hAnsi="黑体" w:eastAsia="黑体" w:cs="黑体"/>
          <w:sz w:val="32"/>
          <w:szCs w:val="32"/>
        </w:rPr>
      </w:pPr>
    </w:p>
    <w:p w14:paraId="599A3ED5">
      <w:pPr>
        <w:spacing w:line="185" w:lineRule="auto"/>
        <w:ind w:left="0" w:leftChars="0" w:firstLine="0" w:firstLineChars="0"/>
        <w:jc w:val="both"/>
        <w:rPr>
          <w:rFonts w:hint="eastAsia" w:ascii="黑体" w:hAnsi="黑体" w:eastAsia="黑体" w:cs="黑体"/>
          <w:sz w:val="32"/>
          <w:szCs w:val="32"/>
        </w:rPr>
      </w:pPr>
    </w:p>
    <w:p w14:paraId="27859856">
      <w:pPr>
        <w:spacing w:line="185" w:lineRule="auto"/>
        <w:ind w:left="0" w:leftChars="0" w:firstLine="0" w:firstLineChars="0"/>
        <w:jc w:val="both"/>
        <w:rPr>
          <w:rFonts w:hint="eastAsia" w:ascii="黑体" w:hAnsi="黑体" w:eastAsia="黑体" w:cs="黑体"/>
          <w:sz w:val="32"/>
          <w:szCs w:val="32"/>
        </w:rPr>
      </w:pPr>
    </w:p>
    <w:p w14:paraId="1B1BB0F5">
      <w:pPr>
        <w:spacing w:line="185" w:lineRule="auto"/>
        <w:ind w:left="0" w:leftChars="0" w:firstLine="0" w:firstLineChars="0"/>
        <w:jc w:val="both"/>
        <w:rPr>
          <w:rFonts w:hint="eastAsia" w:ascii="黑体" w:hAnsi="黑体" w:eastAsia="黑体" w:cs="黑体"/>
          <w:sz w:val="32"/>
          <w:szCs w:val="32"/>
        </w:rPr>
      </w:pPr>
    </w:p>
    <w:p w14:paraId="4E0188CE">
      <w:pPr>
        <w:spacing w:line="185" w:lineRule="auto"/>
        <w:ind w:left="0" w:leftChars="0" w:firstLine="0" w:firstLineChars="0"/>
        <w:jc w:val="both"/>
        <w:rPr>
          <w:rFonts w:hint="eastAsia" w:ascii="黑体" w:hAnsi="黑体" w:eastAsia="黑体" w:cs="黑体"/>
          <w:sz w:val="32"/>
          <w:szCs w:val="32"/>
        </w:rPr>
      </w:pPr>
    </w:p>
    <w:p w14:paraId="17E8046E">
      <w:pPr>
        <w:spacing w:line="185" w:lineRule="auto"/>
        <w:ind w:left="0" w:leftChars="0" w:firstLine="0" w:firstLineChars="0"/>
        <w:jc w:val="both"/>
        <w:rPr>
          <w:rFonts w:hint="eastAsia" w:ascii="黑体" w:hAnsi="黑体" w:eastAsia="黑体" w:cs="黑体"/>
          <w:sz w:val="32"/>
          <w:szCs w:val="32"/>
        </w:rPr>
      </w:pPr>
    </w:p>
    <w:p w14:paraId="2B79B186">
      <w:pPr>
        <w:spacing w:line="185" w:lineRule="auto"/>
        <w:ind w:left="0" w:leftChars="0" w:firstLine="0" w:firstLineChars="0"/>
        <w:jc w:val="both"/>
        <w:rPr>
          <w:rFonts w:hint="eastAsia" w:ascii="黑体" w:hAnsi="黑体" w:eastAsia="黑体" w:cs="黑体"/>
          <w:sz w:val="32"/>
          <w:szCs w:val="32"/>
        </w:rPr>
      </w:pPr>
    </w:p>
    <w:p w14:paraId="34C1A4E1">
      <w:pPr>
        <w:spacing w:line="185" w:lineRule="auto"/>
        <w:ind w:left="0" w:leftChars="0" w:firstLine="0" w:firstLineChars="0"/>
        <w:jc w:val="both"/>
        <w:rPr>
          <w:rFonts w:hint="eastAsia" w:ascii="黑体" w:hAnsi="黑体" w:eastAsia="黑体" w:cs="黑体"/>
          <w:sz w:val="32"/>
          <w:szCs w:val="32"/>
        </w:rPr>
      </w:pPr>
    </w:p>
    <w:p w14:paraId="7F1A70A3">
      <w:pPr>
        <w:spacing w:line="185" w:lineRule="auto"/>
        <w:ind w:left="0" w:leftChars="0" w:firstLine="0" w:firstLineChars="0"/>
        <w:jc w:val="both"/>
        <w:rPr>
          <w:rFonts w:hint="eastAsia" w:ascii="黑体" w:hAnsi="黑体" w:eastAsia="黑体" w:cs="黑体"/>
          <w:sz w:val="32"/>
          <w:szCs w:val="32"/>
        </w:rPr>
      </w:pPr>
    </w:p>
    <w:p w14:paraId="44E27BB5">
      <w:pPr>
        <w:spacing w:line="185" w:lineRule="auto"/>
        <w:ind w:left="0" w:leftChars="0" w:firstLine="0" w:firstLineChars="0"/>
        <w:jc w:val="both"/>
        <w:rPr>
          <w:rFonts w:hint="eastAsia" w:ascii="黑体" w:hAnsi="黑体" w:eastAsia="黑体" w:cs="黑体"/>
          <w:sz w:val="32"/>
          <w:szCs w:val="32"/>
        </w:rPr>
      </w:pPr>
    </w:p>
    <w:p w14:paraId="10300DB1">
      <w:pPr>
        <w:spacing w:line="185" w:lineRule="auto"/>
        <w:ind w:left="0" w:leftChars="0" w:firstLine="0" w:firstLineChars="0"/>
        <w:jc w:val="both"/>
        <w:rPr>
          <w:rFonts w:hint="eastAsia" w:ascii="黑体" w:hAnsi="黑体" w:eastAsia="黑体" w:cs="黑体"/>
          <w:sz w:val="32"/>
          <w:szCs w:val="32"/>
        </w:rPr>
      </w:pPr>
    </w:p>
    <w:p w14:paraId="25B136F6">
      <w:pPr>
        <w:spacing w:line="185" w:lineRule="auto"/>
        <w:ind w:left="0" w:leftChars="0" w:firstLine="0" w:firstLineChars="0"/>
        <w:jc w:val="both"/>
        <w:rPr>
          <w:rFonts w:hint="eastAsia" w:ascii="黑体" w:hAnsi="黑体" w:eastAsia="黑体" w:cs="黑体"/>
          <w:sz w:val="32"/>
          <w:szCs w:val="32"/>
        </w:rPr>
      </w:pPr>
    </w:p>
    <w:p w14:paraId="64809E3E">
      <w:pPr>
        <w:spacing w:line="185" w:lineRule="auto"/>
        <w:ind w:left="0" w:leftChars="0" w:firstLine="0" w:firstLineChars="0"/>
        <w:jc w:val="both"/>
        <w:rPr>
          <w:rFonts w:hint="eastAsia" w:ascii="黑体" w:hAnsi="黑体" w:eastAsia="黑体" w:cs="黑体"/>
          <w:sz w:val="32"/>
          <w:szCs w:val="32"/>
        </w:rPr>
      </w:pPr>
    </w:p>
    <w:p w14:paraId="699D10C1">
      <w:pPr>
        <w:spacing w:line="185" w:lineRule="auto"/>
        <w:ind w:left="0" w:leftChars="0" w:firstLine="0" w:firstLineChars="0"/>
        <w:jc w:val="both"/>
        <w:rPr>
          <w:rFonts w:hint="eastAsia" w:ascii="黑体" w:hAnsi="黑体" w:eastAsia="黑体" w:cs="黑体"/>
          <w:sz w:val="32"/>
          <w:szCs w:val="32"/>
        </w:rPr>
      </w:pPr>
    </w:p>
    <w:p w14:paraId="56B9336F">
      <w:pPr>
        <w:spacing w:line="185" w:lineRule="auto"/>
        <w:ind w:left="0" w:leftChars="0" w:firstLine="0" w:firstLineChars="0"/>
        <w:jc w:val="both"/>
        <w:rPr>
          <w:rFonts w:hint="eastAsia" w:ascii="黑体" w:hAnsi="黑体" w:eastAsia="黑体" w:cs="黑体"/>
          <w:sz w:val="32"/>
          <w:szCs w:val="32"/>
        </w:rPr>
      </w:pPr>
    </w:p>
    <w:p w14:paraId="35046FBA">
      <w:pPr>
        <w:spacing w:line="185" w:lineRule="auto"/>
        <w:ind w:left="0" w:leftChars="0" w:firstLine="0" w:firstLineChars="0"/>
        <w:jc w:val="both"/>
        <w:rPr>
          <w:rFonts w:hint="eastAsia" w:ascii="黑体" w:hAnsi="黑体" w:eastAsia="黑体" w:cs="黑体"/>
          <w:sz w:val="32"/>
          <w:szCs w:val="32"/>
        </w:rPr>
      </w:pPr>
    </w:p>
    <w:p w14:paraId="7F90C582">
      <w:pPr>
        <w:spacing w:line="185" w:lineRule="auto"/>
        <w:ind w:left="0" w:leftChars="0" w:firstLine="0" w:firstLineChars="0"/>
        <w:jc w:val="both"/>
        <w:rPr>
          <w:rFonts w:hint="eastAsia" w:ascii="黑体" w:hAnsi="黑体" w:eastAsia="黑体" w:cs="黑体"/>
          <w:sz w:val="32"/>
          <w:szCs w:val="32"/>
        </w:rPr>
      </w:pPr>
    </w:p>
    <w:p w14:paraId="32FB3D8D">
      <w:pPr>
        <w:spacing w:line="185" w:lineRule="auto"/>
        <w:ind w:left="0" w:leftChars="0" w:firstLine="0" w:firstLineChars="0"/>
        <w:jc w:val="both"/>
        <w:rPr>
          <w:rFonts w:hint="eastAsia" w:ascii="黑体" w:hAnsi="黑体" w:eastAsia="黑体" w:cs="黑体"/>
          <w:sz w:val="32"/>
          <w:szCs w:val="32"/>
        </w:rPr>
      </w:pPr>
    </w:p>
    <w:p w14:paraId="4C3B4CF0">
      <w:pPr>
        <w:spacing w:line="185" w:lineRule="auto"/>
        <w:ind w:left="0" w:leftChars="0" w:firstLine="0" w:firstLineChars="0"/>
        <w:jc w:val="both"/>
        <w:rPr>
          <w:rFonts w:hint="eastAsia" w:ascii="黑体" w:hAnsi="黑体" w:eastAsia="黑体" w:cs="黑体"/>
          <w:sz w:val="32"/>
          <w:szCs w:val="32"/>
        </w:rPr>
      </w:pPr>
    </w:p>
    <w:p w14:paraId="68FCEACE">
      <w:pPr>
        <w:spacing w:line="185" w:lineRule="auto"/>
        <w:ind w:left="0" w:leftChars="0" w:firstLine="0" w:firstLineChars="0"/>
        <w:jc w:val="both"/>
        <w:rPr>
          <w:rFonts w:hint="eastAsia" w:ascii="黑体" w:hAnsi="黑体" w:eastAsia="黑体" w:cs="黑体"/>
          <w:sz w:val="32"/>
          <w:szCs w:val="32"/>
        </w:rPr>
      </w:pPr>
    </w:p>
    <w:p w14:paraId="3E81CE54">
      <w:pPr>
        <w:spacing w:line="185" w:lineRule="auto"/>
        <w:ind w:left="0" w:leftChars="0" w:firstLine="0" w:firstLineChars="0"/>
        <w:jc w:val="both"/>
        <w:rPr>
          <w:rFonts w:hint="eastAsia" w:ascii="黑体" w:hAnsi="黑体" w:eastAsia="黑体" w:cs="黑体"/>
          <w:sz w:val="32"/>
          <w:szCs w:val="32"/>
        </w:rPr>
      </w:pPr>
    </w:p>
    <w:p w14:paraId="344D067F">
      <w:pPr>
        <w:spacing w:line="185" w:lineRule="auto"/>
        <w:ind w:left="0" w:leftChars="0" w:firstLine="0" w:firstLineChars="0"/>
        <w:jc w:val="both"/>
        <w:rPr>
          <w:rFonts w:hint="eastAsia" w:ascii="黑体" w:hAnsi="黑体" w:eastAsia="黑体" w:cs="黑体"/>
          <w:sz w:val="32"/>
          <w:szCs w:val="32"/>
        </w:rPr>
      </w:pPr>
    </w:p>
    <w:p w14:paraId="761EB738">
      <w:pPr>
        <w:spacing w:line="185" w:lineRule="auto"/>
        <w:ind w:left="0" w:leftChars="0" w:firstLine="0" w:firstLineChars="0"/>
        <w:jc w:val="both"/>
        <w:rPr>
          <w:rFonts w:hint="eastAsia" w:ascii="黑体" w:hAnsi="黑体" w:eastAsia="黑体" w:cs="黑体"/>
          <w:sz w:val="32"/>
          <w:szCs w:val="32"/>
        </w:rPr>
      </w:pPr>
    </w:p>
    <w:p w14:paraId="6DA053CC">
      <w:pPr>
        <w:spacing w:line="185" w:lineRule="auto"/>
        <w:ind w:left="0" w:leftChars="0" w:firstLine="0" w:firstLineChars="0"/>
        <w:jc w:val="both"/>
        <w:rPr>
          <w:rFonts w:hint="eastAsia" w:ascii="黑体" w:hAnsi="黑体" w:eastAsia="黑体" w:cs="黑体"/>
          <w:sz w:val="32"/>
          <w:szCs w:val="32"/>
        </w:rPr>
      </w:pPr>
    </w:p>
    <w:p w14:paraId="79FD830B">
      <w:pPr>
        <w:spacing w:line="185" w:lineRule="auto"/>
        <w:ind w:left="0" w:leftChars="0" w:firstLine="0" w:firstLineChars="0"/>
        <w:jc w:val="both"/>
        <w:rPr>
          <w:rFonts w:hint="eastAsia" w:ascii="黑体" w:hAnsi="黑体" w:eastAsia="黑体" w:cs="黑体"/>
          <w:sz w:val="32"/>
          <w:szCs w:val="32"/>
        </w:rPr>
      </w:pPr>
    </w:p>
    <w:p w14:paraId="4253E461">
      <w:pPr>
        <w:spacing w:line="185" w:lineRule="auto"/>
        <w:ind w:left="0" w:leftChars="0" w:firstLine="0" w:firstLineChars="0"/>
        <w:jc w:val="both"/>
        <w:rPr>
          <w:rFonts w:hint="eastAsia" w:ascii="黑体" w:hAnsi="黑体" w:eastAsia="黑体" w:cs="黑体"/>
          <w:sz w:val="32"/>
          <w:szCs w:val="32"/>
        </w:rPr>
      </w:pPr>
    </w:p>
    <w:p w14:paraId="13569B6C">
      <w:pPr>
        <w:spacing w:line="185" w:lineRule="auto"/>
        <w:ind w:left="0" w:leftChars="0" w:firstLine="0" w:firstLineChars="0"/>
        <w:jc w:val="both"/>
        <w:rPr>
          <w:rFonts w:hint="eastAsia" w:ascii="黑体" w:hAnsi="黑体" w:eastAsia="黑体" w:cs="黑体"/>
          <w:sz w:val="32"/>
          <w:szCs w:val="32"/>
        </w:rPr>
      </w:pPr>
    </w:p>
    <w:p w14:paraId="565AFEFD">
      <w:pPr>
        <w:spacing w:line="185" w:lineRule="auto"/>
        <w:ind w:left="0" w:leftChars="0" w:firstLine="0" w:firstLineChars="0"/>
        <w:jc w:val="both"/>
        <w:rPr>
          <w:rFonts w:hint="eastAsia" w:ascii="黑体" w:hAnsi="黑体" w:eastAsia="黑体" w:cs="黑体"/>
          <w:sz w:val="32"/>
          <w:szCs w:val="32"/>
        </w:rPr>
        <w:sectPr>
          <w:footerReference r:id="rId17" w:type="default"/>
          <w:pgSz w:w="11906" w:h="16838"/>
          <w:pgMar w:top="1440" w:right="1800" w:bottom="1440" w:left="1800" w:header="850" w:footer="992" w:gutter="0"/>
          <w:pgNumType w:start="1"/>
          <w:cols w:space="0" w:num="1"/>
          <w:rtlGutter w:val="0"/>
          <w:docGrid w:type="linesAndChars" w:linePitch="579" w:charSpace="21686"/>
        </w:sectPr>
      </w:pPr>
    </w:p>
    <w:p w14:paraId="6BAF97A3">
      <w:pPr>
        <w:spacing w:line="185" w:lineRule="auto"/>
        <w:ind w:left="0" w:leftChars="0" w:firstLine="0" w:firstLineChars="0"/>
        <w:jc w:val="both"/>
        <w:rPr>
          <w:rFonts w:hint="eastAsia" w:ascii="黑体" w:hAnsi="黑体" w:eastAsia="黑体" w:cs="黑体"/>
          <w:sz w:val="32"/>
          <w:szCs w:val="32"/>
        </w:rPr>
      </w:pPr>
    </w:p>
    <w:sdt>
      <w:sdtPr>
        <w:rPr>
          <w:rFonts w:ascii="宋体" w:hAnsi="宋体" w:eastAsia="宋体" w:cs="Arial"/>
          <w:snapToGrid w:val="0"/>
          <w:color w:val="000000"/>
          <w:kern w:val="0"/>
          <w:sz w:val="21"/>
          <w:szCs w:val="21"/>
          <w:lang w:val="en-US" w:eastAsia="en-US" w:bidi="ar-SA"/>
        </w:rPr>
        <w:id w:val="147457009"/>
        <w15:color w:val="DBDBDB"/>
        <w:docPartObj>
          <w:docPartGallery w:val="Table of Contents"/>
          <w:docPartUnique/>
        </w:docPartObj>
      </w:sdtPr>
      <w:sdtEndPr>
        <w:rPr>
          <w:rFonts w:hint="eastAsia" w:ascii="Arial" w:hAnsi="Arial" w:eastAsia="宋体" w:cs="Arial"/>
          <w:snapToGrid w:val="0"/>
          <w:color w:val="000000"/>
          <w:spacing w:val="0"/>
          <w:kern w:val="0"/>
          <w:sz w:val="21"/>
          <w:szCs w:val="21"/>
          <w:lang w:val="en-US" w:eastAsia="zh-CN" w:bidi="ar-SA"/>
        </w:rPr>
      </w:sdtEndPr>
      <w:sdtContent>
        <w:p w14:paraId="30E7493E">
          <w:pPr>
            <w:widowControl/>
            <w:kinsoku w:val="0"/>
            <w:autoSpaceDE w:val="0"/>
            <w:autoSpaceDN w:val="0"/>
            <w:spacing w:before="0" w:beforeLines="0" w:after="0" w:afterLines="0" w:line="240" w:lineRule="auto"/>
            <w:ind w:left="0" w:leftChars="0" w:right="0" w:rightChars="0" w:firstLine="0" w:firstLineChars="0"/>
            <w:jc w:val="center"/>
            <w:textAlignment w:val="baseline"/>
            <w:rPr>
              <w:rFonts w:ascii="宋体" w:hAnsi="宋体" w:eastAsia="宋体" w:cs="Arial"/>
              <w:snapToGrid w:val="0"/>
              <w:color w:val="000000"/>
              <w:spacing w:val="0"/>
              <w:kern w:val="0"/>
              <w:sz w:val="32"/>
              <w:szCs w:val="32"/>
              <w:lang w:eastAsia="en-US"/>
            </w:rPr>
          </w:pPr>
          <w:r>
            <w:rPr>
              <w:rFonts w:ascii="宋体" w:hAnsi="宋体" w:eastAsia="宋体" w:cs="Arial"/>
              <w:snapToGrid w:val="0"/>
              <w:color w:val="000000"/>
              <w:spacing w:val="0"/>
              <w:kern w:val="0"/>
              <w:sz w:val="32"/>
              <w:szCs w:val="32"/>
              <w:lang w:eastAsia="en-US"/>
            </w:rPr>
            <w:t>目</w:t>
          </w:r>
          <w:r>
            <w:rPr>
              <w:rFonts w:hint="eastAsia" w:ascii="宋体" w:hAnsi="宋体" w:eastAsia="宋体" w:cs="Arial"/>
              <w:snapToGrid w:val="0"/>
              <w:color w:val="000000"/>
              <w:spacing w:val="0"/>
              <w:kern w:val="0"/>
              <w:sz w:val="32"/>
              <w:szCs w:val="32"/>
              <w:lang w:val="en-US" w:eastAsia="zh-CN"/>
            </w:rPr>
            <w:t xml:space="preserve">  </w:t>
          </w:r>
          <w:r>
            <w:rPr>
              <w:rFonts w:ascii="宋体" w:hAnsi="宋体" w:eastAsia="宋体" w:cs="Arial"/>
              <w:snapToGrid w:val="0"/>
              <w:color w:val="000000"/>
              <w:spacing w:val="0"/>
              <w:kern w:val="0"/>
              <w:sz w:val="32"/>
              <w:szCs w:val="32"/>
              <w:lang w:eastAsia="en-US"/>
            </w:rPr>
            <w:t>录</w:t>
          </w:r>
        </w:p>
        <w:p w14:paraId="1F07C828">
          <w:pPr>
            <w:widowControl/>
            <w:kinsoku w:val="0"/>
            <w:autoSpaceDE w:val="0"/>
            <w:autoSpaceDN w:val="0"/>
            <w:spacing w:before="0" w:beforeLines="0" w:after="0" w:afterLines="0" w:line="240" w:lineRule="auto"/>
            <w:ind w:left="0" w:leftChars="0" w:right="0" w:rightChars="0" w:firstLine="0" w:firstLineChars="0"/>
            <w:jc w:val="center"/>
            <w:textAlignment w:val="baseline"/>
            <w:rPr>
              <w:rFonts w:ascii="宋体" w:hAnsi="宋体" w:eastAsia="宋体" w:cs="Arial"/>
              <w:snapToGrid w:val="0"/>
              <w:color w:val="000000"/>
              <w:spacing w:val="0"/>
              <w:kern w:val="0"/>
              <w:sz w:val="32"/>
              <w:szCs w:val="32"/>
              <w:lang w:eastAsia="en-US"/>
            </w:rPr>
          </w:pPr>
        </w:p>
        <w:p w14:paraId="6C69D6A9">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0" w:firstLineChars="0"/>
            <w:jc w:val="left"/>
            <w:textAlignment w:val="baseline"/>
            <w:rPr>
              <w:rFonts w:hint="eastAsia" w:ascii="仿宋" w:hAnsi="仿宋" w:eastAsia="仿宋" w:cs="仿宋"/>
              <w:snapToGrid w:val="0"/>
              <w:color w:val="000000"/>
              <w:kern w:val="0"/>
              <w:sz w:val="28"/>
              <w:szCs w:val="28"/>
              <w:lang w:val="en-US" w:eastAsia="en-US" w:bidi="ar-SA"/>
            </w:rPr>
          </w:pPr>
          <w:r>
            <w:rPr>
              <w:rFonts w:hint="eastAsia" w:ascii="Arial" w:hAnsi="Arial" w:eastAsia="宋体" w:cs="Arial"/>
              <w:snapToGrid w:val="0"/>
              <w:color w:val="000000"/>
              <w:kern w:val="0"/>
              <w:sz w:val="21"/>
              <w:szCs w:val="21"/>
              <w:lang w:val="en-US" w:eastAsia="zh-CN" w:bidi="ar-SA"/>
            </w:rPr>
            <w:fldChar w:fldCharType="begin"/>
          </w:r>
          <w:r>
            <w:rPr>
              <w:rFonts w:hint="eastAsia" w:ascii="Arial" w:hAnsi="Arial" w:eastAsia="宋体" w:cs="Arial"/>
              <w:snapToGrid w:val="0"/>
              <w:color w:val="000000"/>
              <w:kern w:val="0"/>
              <w:sz w:val="21"/>
              <w:szCs w:val="21"/>
              <w:lang w:val="en-US" w:eastAsia="zh-CN" w:bidi="ar-SA"/>
            </w:rPr>
            <w:instrText xml:space="preserve">TOC \o "1-2" \h \u </w:instrText>
          </w:r>
          <w:r>
            <w:rPr>
              <w:rFonts w:hint="eastAsia" w:ascii="Arial" w:hAnsi="Arial" w:eastAsia="宋体" w:cs="Arial"/>
              <w:snapToGrid w:val="0"/>
              <w:color w:val="000000"/>
              <w:kern w:val="0"/>
              <w:sz w:val="21"/>
              <w:szCs w:val="21"/>
              <w:lang w:val="en-US" w:eastAsia="zh-CN" w:bidi="ar-SA"/>
            </w:rPr>
            <w:fldChar w:fldCharType="separate"/>
          </w:r>
          <w:r>
            <w:rPr>
              <w:rFonts w:hint="eastAsia" w:ascii="仿宋" w:hAnsi="仿宋" w:eastAsia="仿宋" w:cs="仿宋"/>
              <w:b/>
              <w:bCs/>
              <w:snapToGrid w:val="0"/>
              <w:color w:val="000000"/>
              <w:kern w:val="0"/>
              <w:sz w:val="28"/>
              <w:szCs w:val="28"/>
              <w:lang w:val="en-US" w:eastAsia="zh-CN" w:bidi="ar-SA"/>
            </w:rPr>
            <w:fldChar w:fldCharType="begin"/>
          </w:r>
          <w:r>
            <w:rPr>
              <w:rFonts w:hint="eastAsia" w:ascii="仿宋" w:hAnsi="仿宋" w:eastAsia="仿宋" w:cs="仿宋"/>
              <w:b/>
              <w:bCs/>
              <w:snapToGrid w:val="0"/>
              <w:color w:val="000000"/>
              <w:kern w:val="0"/>
              <w:sz w:val="28"/>
              <w:szCs w:val="28"/>
              <w:lang w:val="en-US" w:eastAsia="zh-CN" w:bidi="ar-SA"/>
            </w:rPr>
            <w:instrText xml:space="preserve"> HYPERLINK \l _Toc10337 </w:instrText>
          </w:r>
          <w:r>
            <w:rPr>
              <w:rFonts w:hint="eastAsia" w:ascii="仿宋" w:hAnsi="仿宋" w:eastAsia="仿宋" w:cs="仿宋"/>
              <w:b/>
              <w:bCs/>
              <w:snapToGrid w:val="0"/>
              <w:color w:val="000000"/>
              <w:kern w:val="0"/>
              <w:sz w:val="28"/>
              <w:szCs w:val="28"/>
              <w:lang w:val="en-US" w:eastAsia="zh-CN" w:bidi="ar-SA"/>
            </w:rPr>
            <w:fldChar w:fldCharType="separate"/>
          </w:r>
          <w:r>
            <w:rPr>
              <w:rFonts w:hint="eastAsia" w:ascii="仿宋" w:hAnsi="仿宋" w:eastAsia="仿宋" w:cs="仿宋"/>
              <w:b/>
              <w:bCs/>
              <w:snapToGrid w:val="0"/>
              <w:color w:val="000000"/>
              <w:spacing w:val="7"/>
              <w:kern w:val="0"/>
              <w:position w:val="1"/>
              <w:sz w:val="28"/>
              <w:szCs w:val="28"/>
              <w:lang w:val="en-US" w:eastAsia="en-US" w:bidi="ar-SA"/>
            </w:rPr>
            <w:t>第一章 现状和面临的形势</w:t>
          </w:r>
          <w:r>
            <w:rPr>
              <w:rFonts w:hint="eastAsia" w:ascii="仿宋" w:hAnsi="仿宋" w:eastAsia="仿宋" w:cs="仿宋"/>
              <w:b/>
              <w:bCs/>
              <w:snapToGrid w:val="0"/>
              <w:color w:val="000000"/>
              <w:kern w:val="0"/>
              <w:sz w:val="28"/>
              <w:szCs w:val="28"/>
              <w:lang w:val="en-US" w:eastAsia="en-US" w:bidi="ar-SA"/>
            </w:rPr>
            <w:tab/>
          </w:r>
          <w:r>
            <w:rPr>
              <w:rFonts w:hint="eastAsia" w:ascii="仿宋" w:hAnsi="仿宋" w:eastAsia="仿宋" w:cs="仿宋"/>
              <w:b/>
              <w:bCs/>
              <w:snapToGrid w:val="0"/>
              <w:color w:val="000000"/>
              <w:kern w:val="0"/>
              <w:sz w:val="28"/>
              <w:szCs w:val="28"/>
              <w:lang w:val="en-US" w:eastAsia="en-US" w:bidi="ar-SA"/>
            </w:rPr>
            <w:fldChar w:fldCharType="begin"/>
          </w:r>
          <w:r>
            <w:rPr>
              <w:rFonts w:hint="eastAsia" w:ascii="仿宋" w:hAnsi="仿宋" w:eastAsia="仿宋" w:cs="仿宋"/>
              <w:b/>
              <w:bCs/>
              <w:snapToGrid w:val="0"/>
              <w:color w:val="000000"/>
              <w:kern w:val="0"/>
              <w:sz w:val="28"/>
              <w:szCs w:val="28"/>
              <w:lang w:val="en-US" w:eastAsia="en-US" w:bidi="ar-SA"/>
            </w:rPr>
            <w:instrText xml:space="preserve"> PAGEREF _Toc10337 \h </w:instrText>
          </w:r>
          <w:r>
            <w:rPr>
              <w:rFonts w:hint="eastAsia" w:ascii="仿宋" w:hAnsi="仿宋" w:eastAsia="仿宋" w:cs="仿宋"/>
              <w:b/>
              <w:bCs/>
              <w:snapToGrid w:val="0"/>
              <w:color w:val="000000"/>
              <w:kern w:val="0"/>
              <w:sz w:val="28"/>
              <w:szCs w:val="28"/>
              <w:lang w:val="en-US" w:eastAsia="en-US" w:bidi="ar-SA"/>
            </w:rPr>
            <w:fldChar w:fldCharType="separate"/>
          </w:r>
          <w:r>
            <w:rPr>
              <w:rFonts w:hint="eastAsia" w:ascii="仿宋" w:hAnsi="仿宋" w:eastAsia="仿宋" w:cs="仿宋"/>
              <w:b/>
              <w:bCs/>
              <w:snapToGrid w:val="0"/>
              <w:color w:val="000000"/>
              <w:kern w:val="0"/>
              <w:sz w:val="28"/>
              <w:szCs w:val="28"/>
              <w:lang w:val="en-US" w:eastAsia="en-US" w:bidi="ar-SA"/>
            </w:rPr>
            <w:t>1</w:t>
          </w:r>
          <w:r>
            <w:rPr>
              <w:rFonts w:hint="eastAsia" w:ascii="仿宋" w:hAnsi="仿宋" w:eastAsia="仿宋" w:cs="仿宋"/>
              <w:b/>
              <w:bCs/>
              <w:snapToGrid w:val="0"/>
              <w:color w:val="000000"/>
              <w:kern w:val="0"/>
              <w:sz w:val="28"/>
              <w:szCs w:val="28"/>
              <w:lang w:val="en-US" w:eastAsia="en-US" w:bidi="ar-SA"/>
            </w:rPr>
            <w:fldChar w:fldCharType="end"/>
          </w:r>
          <w:r>
            <w:rPr>
              <w:rFonts w:hint="eastAsia" w:ascii="仿宋" w:hAnsi="仿宋" w:eastAsia="仿宋" w:cs="仿宋"/>
              <w:b/>
              <w:bCs/>
              <w:snapToGrid w:val="0"/>
              <w:color w:val="000000"/>
              <w:kern w:val="0"/>
              <w:sz w:val="28"/>
              <w:szCs w:val="28"/>
              <w:lang w:val="en-US" w:eastAsia="zh-CN" w:bidi="ar-SA"/>
            </w:rPr>
            <w:fldChar w:fldCharType="end"/>
          </w:r>
        </w:p>
        <w:p w14:paraId="69CCE69D">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both"/>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_Toc29075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snapToGrid w:val="0"/>
              <w:color w:val="000000"/>
              <w:spacing w:val="7"/>
              <w:kern w:val="0"/>
              <w:position w:val="1"/>
              <w:sz w:val="28"/>
              <w:szCs w:val="28"/>
              <w:lang w:val="en-US" w:eastAsia="zh-CN" w:bidi="ar-SA"/>
            </w:rPr>
            <w:t>第一节 “十四五”取得的成效</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en-US" w:bidi="ar-SA"/>
            </w:rPr>
            <w:fldChar w:fldCharType="begin"/>
          </w:r>
          <w:r>
            <w:rPr>
              <w:rFonts w:hint="eastAsia" w:ascii="仿宋" w:hAnsi="仿宋" w:eastAsia="仿宋" w:cs="仿宋"/>
              <w:snapToGrid w:val="0"/>
              <w:color w:val="000000"/>
              <w:kern w:val="0"/>
              <w:sz w:val="28"/>
              <w:szCs w:val="28"/>
              <w:lang w:val="en-US" w:eastAsia="en-US" w:bidi="ar-SA"/>
            </w:rPr>
            <w:instrText xml:space="preserve"> PAGEREF _Toc29075 \h </w:instrText>
          </w:r>
          <w:r>
            <w:rPr>
              <w:rFonts w:hint="eastAsia" w:ascii="仿宋" w:hAnsi="仿宋" w:eastAsia="仿宋" w:cs="仿宋"/>
              <w:snapToGrid w:val="0"/>
              <w:color w:val="000000"/>
              <w:kern w:val="0"/>
              <w:sz w:val="28"/>
              <w:szCs w:val="28"/>
              <w:lang w:val="en-US" w:eastAsia="en-US" w:bidi="ar-SA"/>
            </w:rPr>
            <w:fldChar w:fldCharType="separate"/>
          </w:r>
          <w:r>
            <w:rPr>
              <w:rFonts w:hint="eastAsia" w:ascii="仿宋" w:hAnsi="仿宋" w:eastAsia="仿宋" w:cs="仿宋"/>
              <w:snapToGrid w:val="0"/>
              <w:color w:val="000000"/>
              <w:kern w:val="0"/>
              <w:sz w:val="28"/>
              <w:szCs w:val="28"/>
              <w:lang w:val="en-US" w:eastAsia="en-US" w:bidi="ar-SA"/>
            </w:rPr>
            <w:t>1</w:t>
          </w:r>
          <w:r>
            <w:rPr>
              <w:rFonts w:hint="eastAsia" w:ascii="仿宋" w:hAnsi="仿宋" w:eastAsia="仿宋" w:cs="仿宋"/>
              <w:snapToGrid w:val="0"/>
              <w:color w:val="000000"/>
              <w:kern w:val="0"/>
              <w:sz w:val="28"/>
              <w:szCs w:val="28"/>
              <w:lang w:val="en-US" w:eastAsia="en-US" w:bidi="ar-SA"/>
            </w:rPr>
            <w:fldChar w:fldCharType="end"/>
          </w:r>
          <w:r>
            <w:rPr>
              <w:rFonts w:hint="eastAsia" w:ascii="仿宋" w:hAnsi="仿宋" w:eastAsia="仿宋" w:cs="仿宋"/>
              <w:snapToGrid w:val="0"/>
              <w:color w:val="000000"/>
              <w:kern w:val="0"/>
              <w:sz w:val="28"/>
              <w:szCs w:val="28"/>
              <w:lang w:val="en-US" w:eastAsia="zh-CN" w:bidi="ar-SA"/>
            </w:rPr>
            <w:fldChar w:fldCharType="end"/>
          </w:r>
        </w:p>
        <w:p w14:paraId="599EFA67">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both"/>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_Toc23694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zh-CN" w:bidi="ar-SA"/>
            </w:rPr>
            <w:t>第二节  存在的问题</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t>4</w:t>
          </w:r>
          <w:r>
            <w:rPr>
              <w:rFonts w:hint="eastAsia" w:ascii="仿宋" w:hAnsi="仿宋" w:eastAsia="仿宋" w:cs="仿宋"/>
              <w:snapToGrid w:val="0"/>
              <w:color w:val="000000"/>
              <w:kern w:val="0"/>
              <w:sz w:val="28"/>
              <w:szCs w:val="28"/>
              <w:lang w:val="en-US" w:eastAsia="zh-CN" w:bidi="ar-SA"/>
            </w:rPr>
            <w:fldChar w:fldCharType="end"/>
          </w:r>
        </w:p>
        <w:p w14:paraId="5F7298DF">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both"/>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_Toc26779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zh-CN" w:bidi="ar-SA"/>
            </w:rPr>
            <w:t>第三节  发展机遇</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t>5</w:t>
          </w:r>
          <w:r>
            <w:rPr>
              <w:rFonts w:hint="eastAsia" w:ascii="仿宋" w:hAnsi="仿宋" w:eastAsia="仿宋" w:cs="仿宋"/>
              <w:snapToGrid w:val="0"/>
              <w:color w:val="000000"/>
              <w:kern w:val="0"/>
              <w:sz w:val="28"/>
              <w:szCs w:val="28"/>
              <w:lang w:val="en-US" w:eastAsia="zh-CN" w:bidi="ar-SA"/>
            </w:rPr>
            <w:fldChar w:fldCharType="end"/>
          </w:r>
        </w:p>
        <w:p w14:paraId="45BB232C">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left"/>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_Toc15208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zh-CN" w:bidi="ar-SA"/>
            </w:rPr>
            <w:t>第四节  面临的挑战</w:t>
          </w:r>
          <w:r>
            <w:rPr>
              <w:rFonts w:hint="eastAsia" w:ascii="仿宋" w:hAnsi="仿宋" w:eastAsia="仿宋" w:cs="仿宋"/>
              <w:snapToGrid w:val="0"/>
              <w:color w:val="000000"/>
              <w:kern w:val="0"/>
              <w:sz w:val="28"/>
              <w:szCs w:val="28"/>
              <w:lang w:val="en-US" w:eastAsia="en-US" w:bidi="ar-SA"/>
            </w:rPr>
            <w:tab/>
          </w:r>
          <w:r>
            <w:rPr>
              <w:rFonts w:hint="eastAsia" w:cs="仿宋"/>
              <w:snapToGrid w:val="0"/>
              <w:color w:val="000000"/>
              <w:kern w:val="0"/>
              <w:sz w:val="28"/>
              <w:szCs w:val="28"/>
              <w:lang w:val="en-US" w:eastAsia="zh-CN" w:bidi="ar-SA"/>
            </w:rPr>
            <w:t>7</w:t>
          </w:r>
          <w:r>
            <w:rPr>
              <w:rFonts w:hint="eastAsia" w:ascii="仿宋" w:hAnsi="仿宋" w:eastAsia="仿宋" w:cs="仿宋"/>
              <w:snapToGrid w:val="0"/>
              <w:color w:val="000000"/>
              <w:kern w:val="0"/>
              <w:sz w:val="28"/>
              <w:szCs w:val="28"/>
              <w:lang w:val="en-US" w:eastAsia="zh-CN" w:bidi="ar-SA"/>
            </w:rPr>
            <w:fldChar w:fldCharType="end"/>
          </w:r>
        </w:p>
        <w:p w14:paraId="681C86ED">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0" w:firstLineChars="0"/>
            <w:jc w:val="left"/>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_Toc1108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
              <w:bCs/>
              <w:snapToGrid w:val="0"/>
              <w:color w:val="000000"/>
              <w:spacing w:val="7"/>
              <w:kern w:val="0"/>
              <w:position w:val="1"/>
              <w:sz w:val="28"/>
              <w:szCs w:val="28"/>
              <w:lang w:val="en-US" w:eastAsia="zh-CN" w:bidi="ar-SA"/>
            </w:rPr>
            <w:t>第二章 指导思想、基本原则和规划目标</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t>8</w:t>
          </w:r>
          <w:r>
            <w:rPr>
              <w:rFonts w:hint="eastAsia" w:ascii="仿宋" w:hAnsi="仿宋" w:eastAsia="仿宋" w:cs="仿宋"/>
              <w:snapToGrid w:val="0"/>
              <w:color w:val="000000"/>
              <w:kern w:val="0"/>
              <w:sz w:val="28"/>
              <w:szCs w:val="28"/>
              <w:lang w:val="en-US" w:eastAsia="zh-CN" w:bidi="ar-SA"/>
            </w:rPr>
            <w:fldChar w:fldCharType="end"/>
          </w:r>
        </w:p>
        <w:p w14:paraId="3F6E33B9">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left"/>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_Toc13060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snapToGrid w:val="0"/>
              <w:color w:val="000000"/>
              <w:spacing w:val="3"/>
              <w:kern w:val="0"/>
              <w:sz w:val="28"/>
              <w:szCs w:val="28"/>
              <w:lang w:val="en-US" w:eastAsia="zh-CN" w:bidi="ar-SA"/>
            </w:rPr>
            <w:t>第一节  指导思想</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t>8</w:t>
          </w:r>
          <w:r>
            <w:rPr>
              <w:rFonts w:hint="eastAsia" w:ascii="仿宋" w:hAnsi="仿宋" w:eastAsia="仿宋" w:cs="仿宋"/>
              <w:snapToGrid w:val="0"/>
              <w:color w:val="000000"/>
              <w:kern w:val="0"/>
              <w:sz w:val="28"/>
              <w:szCs w:val="28"/>
              <w:lang w:val="en-US" w:eastAsia="zh-CN" w:bidi="ar-SA"/>
            </w:rPr>
            <w:fldChar w:fldCharType="end"/>
          </w:r>
        </w:p>
        <w:p w14:paraId="5F5290F7">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_Toc25166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3"/>
              <w:kern w:val="0"/>
              <w:sz w:val="28"/>
              <w:szCs w:val="28"/>
              <w:lang w:val="en-US" w:eastAsia="zh-CN" w:bidi="ar-SA"/>
            </w:rPr>
            <w:t>第二节  基本原则</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fldChar w:fldCharType="end"/>
          </w:r>
          <w:r>
            <w:rPr>
              <w:rFonts w:hint="eastAsia" w:cs="仿宋"/>
              <w:snapToGrid w:val="0"/>
              <w:color w:val="000000"/>
              <w:kern w:val="0"/>
              <w:sz w:val="28"/>
              <w:szCs w:val="28"/>
              <w:lang w:val="en-US" w:eastAsia="zh-CN" w:bidi="ar-SA"/>
            </w:rPr>
            <w:t>9</w:t>
          </w:r>
        </w:p>
        <w:p w14:paraId="4415DB15">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_Toc23378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3"/>
              <w:kern w:val="0"/>
              <w:sz w:val="28"/>
              <w:szCs w:val="28"/>
              <w:lang w:val="en-US" w:eastAsia="zh-CN" w:bidi="ar-SA"/>
            </w:rPr>
            <w:t>第三节  规划目标</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t>1</w:t>
          </w:r>
          <w:r>
            <w:rPr>
              <w:rFonts w:hint="eastAsia" w:ascii="仿宋" w:hAnsi="仿宋" w:eastAsia="仿宋" w:cs="仿宋"/>
              <w:snapToGrid w:val="0"/>
              <w:color w:val="000000"/>
              <w:kern w:val="0"/>
              <w:sz w:val="28"/>
              <w:szCs w:val="28"/>
              <w:lang w:val="en-US" w:eastAsia="zh-CN" w:bidi="ar-SA"/>
            </w:rPr>
            <w:fldChar w:fldCharType="end"/>
          </w:r>
          <w:r>
            <w:rPr>
              <w:rFonts w:hint="eastAsia" w:ascii="仿宋" w:hAnsi="仿宋" w:eastAsia="仿宋" w:cs="仿宋"/>
              <w:snapToGrid w:val="0"/>
              <w:color w:val="000000"/>
              <w:kern w:val="0"/>
              <w:sz w:val="28"/>
              <w:szCs w:val="28"/>
              <w:lang w:val="en-US" w:eastAsia="zh-CN" w:bidi="ar-SA"/>
            </w:rPr>
            <w:t>0</w:t>
          </w:r>
        </w:p>
        <w:p w14:paraId="30E1DF41">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0" w:firstLineChars="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_Toc28875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
              <w:bCs/>
              <w:snapToGrid w:val="0"/>
              <w:color w:val="000000"/>
              <w:spacing w:val="4"/>
              <w:kern w:val="0"/>
              <w:position w:val="1"/>
              <w:sz w:val="28"/>
              <w:szCs w:val="28"/>
              <w:lang w:val="en-US" w:eastAsia="zh-CN" w:bidi="ar-SA"/>
            </w:rPr>
            <w:t>第三章 主要任务</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t>1</w:t>
          </w:r>
          <w:r>
            <w:rPr>
              <w:rFonts w:hint="eastAsia" w:ascii="仿宋" w:hAnsi="仿宋" w:eastAsia="仿宋" w:cs="仿宋"/>
              <w:snapToGrid w:val="0"/>
              <w:color w:val="000000"/>
              <w:kern w:val="0"/>
              <w:sz w:val="28"/>
              <w:szCs w:val="28"/>
              <w:lang w:val="en-US" w:eastAsia="zh-CN" w:bidi="ar-SA"/>
            </w:rPr>
            <w:fldChar w:fldCharType="end"/>
          </w:r>
          <w:r>
            <w:rPr>
              <w:rFonts w:hint="eastAsia" w:cs="仿宋"/>
              <w:snapToGrid w:val="0"/>
              <w:color w:val="000000"/>
              <w:kern w:val="0"/>
              <w:sz w:val="28"/>
              <w:szCs w:val="28"/>
              <w:lang w:val="en-US" w:eastAsia="zh-CN" w:bidi="ar-SA"/>
            </w:rPr>
            <w:t>1</w:t>
          </w:r>
        </w:p>
        <w:p w14:paraId="4E76126A">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_Toc12097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4"/>
              <w:kern w:val="0"/>
              <w:sz w:val="28"/>
              <w:szCs w:val="28"/>
              <w:lang w:val="en-US" w:eastAsia="zh-CN" w:bidi="ar-SA"/>
            </w:rPr>
            <w:t>第一节  强化责任落实，推动安全生产水平提升</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en-US" w:bidi="ar-SA"/>
            </w:rPr>
            <w:fldChar w:fldCharType="begin"/>
          </w:r>
          <w:r>
            <w:rPr>
              <w:rFonts w:hint="eastAsia" w:ascii="仿宋" w:hAnsi="仿宋" w:eastAsia="仿宋" w:cs="仿宋"/>
              <w:snapToGrid w:val="0"/>
              <w:color w:val="000000"/>
              <w:kern w:val="0"/>
              <w:sz w:val="28"/>
              <w:szCs w:val="28"/>
              <w:lang w:val="en-US" w:eastAsia="en-US" w:bidi="ar-SA"/>
            </w:rPr>
            <w:instrText xml:space="preserve"> PAGEREF _Toc12097 \h </w:instrText>
          </w:r>
          <w:r>
            <w:rPr>
              <w:rFonts w:hint="eastAsia" w:ascii="仿宋" w:hAnsi="仿宋" w:eastAsia="仿宋" w:cs="仿宋"/>
              <w:snapToGrid w:val="0"/>
              <w:color w:val="000000"/>
              <w:kern w:val="0"/>
              <w:sz w:val="28"/>
              <w:szCs w:val="28"/>
              <w:lang w:val="en-US" w:eastAsia="en-US" w:bidi="ar-SA"/>
            </w:rPr>
            <w:fldChar w:fldCharType="separate"/>
          </w:r>
          <w:r>
            <w:rPr>
              <w:rFonts w:hint="eastAsia" w:ascii="仿宋" w:hAnsi="仿宋" w:eastAsia="仿宋" w:cs="仿宋"/>
              <w:snapToGrid w:val="0"/>
              <w:color w:val="000000"/>
              <w:kern w:val="0"/>
              <w:sz w:val="28"/>
              <w:szCs w:val="28"/>
              <w:lang w:val="en-US" w:eastAsia="en-US" w:bidi="ar-SA"/>
            </w:rPr>
            <w:t>11</w:t>
          </w:r>
          <w:r>
            <w:rPr>
              <w:rFonts w:hint="eastAsia" w:ascii="仿宋" w:hAnsi="仿宋" w:eastAsia="仿宋" w:cs="仿宋"/>
              <w:snapToGrid w:val="0"/>
              <w:color w:val="000000"/>
              <w:kern w:val="0"/>
              <w:sz w:val="28"/>
              <w:szCs w:val="28"/>
              <w:lang w:val="en-US" w:eastAsia="en-US" w:bidi="ar-SA"/>
            </w:rPr>
            <w:fldChar w:fldCharType="end"/>
          </w:r>
          <w:r>
            <w:rPr>
              <w:rFonts w:hint="eastAsia" w:ascii="仿宋" w:hAnsi="仿宋" w:eastAsia="仿宋" w:cs="仿宋"/>
              <w:snapToGrid w:val="0"/>
              <w:color w:val="000000"/>
              <w:kern w:val="0"/>
              <w:sz w:val="28"/>
              <w:szCs w:val="28"/>
              <w:lang w:val="en-US" w:eastAsia="zh-CN" w:bidi="ar-SA"/>
            </w:rPr>
            <w:fldChar w:fldCharType="end"/>
          </w:r>
        </w:p>
        <w:p w14:paraId="632962E9">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left"/>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_Toc13806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zh-CN" w:bidi="ar-SA"/>
            </w:rPr>
            <w:t>第二节  坚持依法治理，提高基层安全监管执法能力</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en-US" w:bidi="ar-SA"/>
            </w:rPr>
            <w:fldChar w:fldCharType="begin"/>
          </w:r>
          <w:r>
            <w:rPr>
              <w:rFonts w:hint="eastAsia" w:ascii="仿宋" w:hAnsi="仿宋" w:eastAsia="仿宋" w:cs="仿宋"/>
              <w:snapToGrid w:val="0"/>
              <w:color w:val="000000"/>
              <w:kern w:val="0"/>
              <w:sz w:val="28"/>
              <w:szCs w:val="28"/>
              <w:lang w:val="en-US" w:eastAsia="en-US" w:bidi="ar-SA"/>
            </w:rPr>
            <w:instrText xml:space="preserve"> PAGEREF _Toc13806 \h </w:instrText>
          </w:r>
          <w:r>
            <w:rPr>
              <w:rFonts w:hint="eastAsia" w:ascii="仿宋" w:hAnsi="仿宋" w:eastAsia="仿宋" w:cs="仿宋"/>
              <w:snapToGrid w:val="0"/>
              <w:color w:val="000000"/>
              <w:kern w:val="0"/>
              <w:sz w:val="28"/>
              <w:szCs w:val="28"/>
              <w:lang w:val="en-US" w:eastAsia="en-US" w:bidi="ar-SA"/>
            </w:rPr>
            <w:fldChar w:fldCharType="separate"/>
          </w:r>
          <w:r>
            <w:rPr>
              <w:rFonts w:hint="eastAsia" w:ascii="仿宋" w:hAnsi="仿宋" w:eastAsia="仿宋" w:cs="仿宋"/>
              <w:snapToGrid w:val="0"/>
              <w:color w:val="000000"/>
              <w:kern w:val="0"/>
              <w:sz w:val="28"/>
              <w:szCs w:val="28"/>
              <w:lang w:val="en-US" w:eastAsia="en-US" w:bidi="ar-SA"/>
            </w:rPr>
            <w:t>13</w:t>
          </w:r>
          <w:r>
            <w:rPr>
              <w:rFonts w:hint="eastAsia" w:ascii="仿宋" w:hAnsi="仿宋" w:eastAsia="仿宋" w:cs="仿宋"/>
              <w:snapToGrid w:val="0"/>
              <w:color w:val="000000"/>
              <w:kern w:val="0"/>
              <w:sz w:val="28"/>
              <w:szCs w:val="28"/>
              <w:lang w:val="en-US" w:eastAsia="en-US" w:bidi="ar-SA"/>
            </w:rPr>
            <w:fldChar w:fldCharType="end"/>
          </w:r>
          <w:r>
            <w:rPr>
              <w:rFonts w:hint="eastAsia" w:ascii="仿宋" w:hAnsi="仿宋" w:eastAsia="仿宋" w:cs="仿宋"/>
              <w:snapToGrid w:val="0"/>
              <w:color w:val="000000"/>
              <w:kern w:val="0"/>
              <w:sz w:val="28"/>
              <w:szCs w:val="28"/>
              <w:lang w:val="en-US" w:eastAsia="zh-CN" w:bidi="ar-SA"/>
            </w:rPr>
            <w:fldChar w:fldCharType="end"/>
          </w:r>
        </w:p>
        <w:p w14:paraId="41FAC198">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_Toc24487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4"/>
              <w:kern w:val="0"/>
              <w:sz w:val="28"/>
              <w:szCs w:val="28"/>
              <w:lang w:val="en-US" w:eastAsia="zh-CN" w:bidi="ar-SA"/>
            </w:rPr>
            <w:t>第三节  坚持源头治理</w:t>
          </w:r>
          <w:r>
            <w:rPr>
              <w:rFonts w:hint="eastAsia" w:cs="仿宋"/>
              <w:bCs/>
              <w:snapToGrid w:val="0"/>
              <w:color w:val="000000"/>
              <w:spacing w:val="4"/>
              <w:kern w:val="0"/>
              <w:sz w:val="28"/>
              <w:szCs w:val="28"/>
              <w:lang w:val="en-US" w:eastAsia="zh-CN" w:bidi="ar-SA"/>
            </w:rPr>
            <w:t>，</w:t>
          </w:r>
          <w:r>
            <w:rPr>
              <w:rFonts w:hint="eastAsia" w:ascii="仿宋" w:hAnsi="仿宋" w:eastAsia="仿宋" w:cs="仿宋"/>
              <w:bCs/>
              <w:snapToGrid w:val="0"/>
              <w:color w:val="000000"/>
              <w:spacing w:val="4"/>
              <w:kern w:val="0"/>
              <w:sz w:val="28"/>
              <w:szCs w:val="28"/>
              <w:lang w:val="en-US" w:eastAsia="zh-CN" w:bidi="ar-SA"/>
            </w:rPr>
            <w:t>筑牢事故风险防控基础</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en-US" w:bidi="ar-SA"/>
            </w:rPr>
            <w:fldChar w:fldCharType="begin"/>
          </w:r>
          <w:r>
            <w:rPr>
              <w:rFonts w:hint="eastAsia" w:ascii="仿宋" w:hAnsi="仿宋" w:eastAsia="仿宋" w:cs="仿宋"/>
              <w:snapToGrid w:val="0"/>
              <w:color w:val="000000"/>
              <w:kern w:val="0"/>
              <w:sz w:val="28"/>
              <w:szCs w:val="28"/>
              <w:lang w:val="en-US" w:eastAsia="en-US" w:bidi="ar-SA"/>
            </w:rPr>
            <w:instrText xml:space="preserve"> PAGEREF _Toc24487 \h </w:instrText>
          </w:r>
          <w:r>
            <w:rPr>
              <w:rFonts w:hint="eastAsia" w:ascii="仿宋" w:hAnsi="仿宋" w:eastAsia="仿宋" w:cs="仿宋"/>
              <w:snapToGrid w:val="0"/>
              <w:color w:val="000000"/>
              <w:kern w:val="0"/>
              <w:sz w:val="28"/>
              <w:szCs w:val="28"/>
              <w:lang w:val="en-US" w:eastAsia="en-US" w:bidi="ar-SA"/>
            </w:rPr>
            <w:fldChar w:fldCharType="separate"/>
          </w:r>
          <w:r>
            <w:rPr>
              <w:rFonts w:hint="eastAsia" w:ascii="仿宋" w:hAnsi="仿宋" w:eastAsia="仿宋" w:cs="仿宋"/>
              <w:snapToGrid w:val="0"/>
              <w:color w:val="000000"/>
              <w:kern w:val="0"/>
              <w:sz w:val="28"/>
              <w:szCs w:val="28"/>
              <w:lang w:val="en-US" w:eastAsia="en-US" w:bidi="ar-SA"/>
            </w:rPr>
            <w:t>15</w:t>
          </w:r>
          <w:r>
            <w:rPr>
              <w:rFonts w:hint="eastAsia" w:ascii="仿宋" w:hAnsi="仿宋" w:eastAsia="仿宋" w:cs="仿宋"/>
              <w:snapToGrid w:val="0"/>
              <w:color w:val="000000"/>
              <w:kern w:val="0"/>
              <w:sz w:val="28"/>
              <w:szCs w:val="28"/>
              <w:lang w:val="en-US" w:eastAsia="en-US" w:bidi="ar-SA"/>
            </w:rPr>
            <w:fldChar w:fldCharType="end"/>
          </w:r>
          <w:r>
            <w:rPr>
              <w:rFonts w:hint="eastAsia" w:ascii="仿宋" w:hAnsi="仿宋" w:eastAsia="仿宋" w:cs="仿宋"/>
              <w:snapToGrid w:val="0"/>
              <w:color w:val="000000"/>
              <w:kern w:val="0"/>
              <w:sz w:val="28"/>
              <w:szCs w:val="28"/>
              <w:lang w:val="en-US" w:eastAsia="zh-CN" w:bidi="ar-SA"/>
            </w:rPr>
            <w:fldChar w:fldCharType="end"/>
          </w:r>
        </w:p>
        <w:p w14:paraId="30E2F410">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373" w:firstLineChars="10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_Toc23919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en-US" w:bidi="ar-SA"/>
            </w:rPr>
            <w:t>第四节</w:t>
          </w:r>
          <w:r>
            <w:rPr>
              <w:rFonts w:hint="eastAsia" w:ascii="仿宋" w:hAnsi="仿宋" w:eastAsia="仿宋" w:cs="仿宋"/>
              <w:bCs/>
              <w:snapToGrid w:val="0"/>
              <w:color w:val="000000"/>
              <w:spacing w:val="90"/>
              <w:kern w:val="0"/>
              <w:sz w:val="28"/>
              <w:szCs w:val="28"/>
              <w:lang w:val="en-US" w:eastAsia="en-US" w:bidi="ar-SA"/>
            </w:rPr>
            <w:t xml:space="preserve"> </w:t>
          </w:r>
          <w:r>
            <w:rPr>
              <w:rFonts w:hint="eastAsia" w:ascii="仿宋" w:hAnsi="仿宋" w:eastAsia="仿宋" w:cs="仿宋"/>
              <w:bCs/>
              <w:snapToGrid w:val="0"/>
              <w:color w:val="000000"/>
              <w:spacing w:val="5"/>
              <w:kern w:val="0"/>
              <w:sz w:val="28"/>
              <w:szCs w:val="28"/>
              <w:lang w:val="en-US" w:eastAsia="en-US" w:bidi="ar-SA"/>
            </w:rPr>
            <w:t>聚焦重点行业领域专项整治</w:t>
          </w:r>
          <w:r>
            <w:rPr>
              <w:rFonts w:hint="eastAsia" w:ascii="仿宋" w:hAnsi="仿宋" w:eastAsia="仿宋" w:cs="仿宋"/>
              <w:bCs/>
              <w:snapToGrid w:val="0"/>
              <w:color w:val="000000"/>
              <w:spacing w:val="-48"/>
              <w:kern w:val="0"/>
              <w:sz w:val="28"/>
              <w:szCs w:val="28"/>
              <w:lang w:val="en-US" w:eastAsia="en-US" w:bidi="ar-SA"/>
            </w:rPr>
            <w:t xml:space="preserve"> </w:t>
          </w:r>
          <w:r>
            <w:rPr>
              <w:rFonts w:hint="eastAsia" w:ascii="仿宋" w:hAnsi="仿宋" w:eastAsia="仿宋" w:cs="仿宋"/>
              <w:bCs/>
              <w:snapToGrid w:val="0"/>
              <w:color w:val="000000"/>
              <w:spacing w:val="5"/>
              <w:kern w:val="0"/>
              <w:sz w:val="28"/>
              <w:szCs w:val="28"/>
              <w:lang w:val="en-US" w:eastAsia="en-US" w:bidi="ar-SA"/>
            </w:rPr>
            <w:t>，</w:t>
          </w:r>
          <w:r>
            <w:rPr>
              <w:rFonts w:hint="eastAsia" w:ascii="仿宋" w:hAnsi="仿宋" w:eastAsia="仿宋" w:cs="仿宋"/>
              <w:bCs/>
              <w:snapToGrid w:val="0"/>
              <w:color w:val="000000"/>
              <w:spacing w:val="-66"/>
              <w:kern w:val="0"/>
              <w:sz w:val="28"/>
              <w:szCs w:val="28"/>
              <w:lang w:val="en-US" w:eastAsia="en-US" w:bidi="ar-SA"/>
            </w:rPr>
            <w:t xml:space="preserve"> </w:t>
          </w:r>
          <w:r>
            <w:rPr>
              <w:rFonts w:hint="eastAsia" w:ascii="仿宋" w:hAnsi="仿宋" w:eastAsia="仿宋" w:cs="仿宋"/>
              <w:bCs/>
              <w:snapToGrid w:val="0"/>
              <w:color w:val="000000"/>
              <w:spacing w:val="5"/>
              <w:kern w:val="0"/>
              <w:sz w:val="28"/>
              <w:szCs w:val="28"/>
              <w:lang w:val="en-US" w:eastAsia="en-US" w:bidi="ar-SA"/>
            </w:rPr>
            <w:t>着力提升安全</w:t>
          </w:r>
          <w:r>
            <w:rPr>
              <w:rFonts w:hint="eastAsia" w:ascii="仿宋" w:hAnsi="仿宋" w:eastAsia="仿宋" w:cs="仿宋"/>
              <w:bCs/>
              <w:snapToGrid w:val="0"/>
              <w:color w:val="000000"/>
              <w:spacing w:val="4"/>
              <w:kern w:val="0"/>
              <w:sz w:val="28"/>
              <w:szCs w:val="28"/>
              <w:lang w:val="en-US" w:eastAsia="en-US" w:bidi="ar-SA"/>
            </w:rPr>
            <w:t>水平</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en-US" w:bidi="ar-SA"/>
            </w:rPr>
            <w:fldChar w:fldCharType="begin"/>
          </w:r>
          <w:r>
            <w:rPr>
              <w:rFonts w:hint="eastAsia" w:ascii="仿宋" w:hAnsi="仿宋" w:eastAsia="仿宋" w:cs="仿宋"/>
              <w:snapToGrid w:val="0"/>
              <w:color w:val="000000"/>
              <w:kern w:val="0"/>
              <w:sz w:val="28"/>
              <w:szCs w:val="28"/>
              <w:lang w:val="en-US" w:eastAsia="en-US" w:bidi="ar-SA"/>
            </w:rPr>
            <w:instrText xml:space="preserve"> PAGEREF _Toc23919 \h </w:instrText>
          </w:r>
          <w:r>
            <w:rPr>
              <w:rFonts w:hint="eastAsia" w:ascii="仿宋" w:hAnsi="仿宋" w:eastAsia="仿宋" w:cs="仿宋"/>
              <w:snapToGrid w:val="0"/>
              <w:color w:val="000000"/>
              <w:kern w:val="0"/>
              <w:sz w:val="28"/>
              <w:szCs w:val="28"/>
              <w:lang w:val="en-US" w:eastAsia="en-US" w:bidi="ar-SA"/>
            </w:rPr>
            <w:fldChar w:fldCharType="separate"/>
          </w:r>
          <w:r>
            <w:rPr>
              <w:rFonts w:hint="eastAsia" w:ascii="仿宋" w:hAnsi="仿宋" w:eastAsia="仿宋" w:cs="仿宋"/>
              <w:snapToGrid w:val="0"/>
              <w:color w:val="000000"/>
              <w:kern w:val="0"/>
              <w:sz w:val="28"/>
              <w:szCs w:val="28"/>
              <w:lang w:val="en-US" w:eastAsia="en-US" w:bidi="ar-SA"/>
            </w:rPr>
            <w:t>16</w:t>
          </w:r>
          <w:r>
            <w:rPr>
              <w:rFonts w:hint="eastAsia" w:ascii="仿宋" w:hAnsi="仿宋" w:eastAsia="仿宋" w:cs="仿宋"/>
              <w:snapToGrid w:val="0"/>
              <w:color w:val="000000"/>
              <w:kern w:val="0"/>
              <w:sz w:val="28"/>
              <w:szCs w:val="28"/>
              <w:lang w:val="en-US" w:eastAsia="en-US" w:bidi="ar-SA"/>
            </w:rPr>
            <w:fldChar w:fldCharType="end"/>
          </w:r>
          <w:r>
            <w:rPr>
              <w:rFonts w:hint="eastAsia" w:ascii="仿宋" w:hAnsi="仿宋" w:eastAsia="仿宋" w:cs="仿宋"/>
              <w:snapToGrid w:val="0"/>
              <w:color w:val="000000"/>
              <w:kern w:val="0"/>
              <w:sz w:val="28"/>
              <w:szCs w:val="28"/>
              <w:lang w:val="en-US" w:eastAsia="zh-CN" w:bidi="ar-SA"/>
            </w:rPr>
            <w:fldChar w:fldCharType="end"/>
          </w:r>
        </w:p>
        <w:p w14:paraId="5CEFBF0F">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firstLine="373" w:firstLineChars="100"/>
            <w:jc w:val="left"/>
            <w:textAlignment w:val="baseline"/>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_Toc5807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6"/>
              <w:kern w:val="0"/>
              <w:sz w:val="28"/>
              <w:szCs w:val="28"/>
              <w:lang w:val="en-US" w:eastAsia="zh-CN" w:bidi="ar-SA"/>
            </w:rPr>
            <w:t xml:space="preserve">第五节  </w:t>
          </w:r>
          <w:r>
            <w:rPr>
              <w:rFonts w:hint="eastAsia" w:ascii="仿宋" w:hAnsi="仿宋" w:eastAsia="仿宋" w:cs="仿宋"/>
              <w:bCs/>
              <w:snapToGrid w:val="0"/>
              <w:color w:val="000000"/>
              <w:spacing w:val="6"/>
              <w:kern w:val="0"/>
              <w:sz w:val="28"/>
              <w:szCs w:val="28"/>
              <w:lang w:val="en-US" w:eastAsia="en-US" w:bidi="ar-SA"/>
            </w:rPr>
            <w:t>健全完善应急救援体系 ，提升应急救援能力</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en-US" w:bidi="ar-SA"/>
            </w:rPr>
            <w:fldChar w:fldCharType="begin"/>
          </w:r>
          <w:r>
            <w:rPr>
              <w:rFonts w:hint="eastAsia" w:ascii="仿宋" w:hAnsi="仿宋" w:eastAsia="仿宋" w:cs="仿宋"/>
              <w:snapToGrid w:val="0"/>
              <w:color w:val="000000"/>
              <w:kern w:val="0"/>
              <w:sz w:val="28"/>
              <w:szCs w:val="28"/>
              <w:lang w:val="en-US" w:eastAsia="en-US" w:bidi="ar-SA"/>
            </w:rPr>
            <w:instrText xml:space="preserve"> PAGEREF _Toc5807 \h </w:instrText>
          </w:r>
          <w:r>
            <w:rPr>
              <w:rFonts w:hint="eastAsia" w:ascii="仿宋" w:hAnsi="仿宋" w:eastAsia="仿宋" w:cs="仿宋"/>
              <w:snapToGrid w:val="0"/>
              <w:color w:val="000000"/>
              <w:kern w:val="0"/>
              <w:sz w:val="28"/>
              <w:szCs w:val="28"/>
              <w:lang w:val="en-US" w:eastAsia="en-US" w:bidi="ar-SA"/>
            </w:rPr>
            <w:fldChar w:fldCharType="separate"/>
          </w:r>
          <w:r>
            <w:rPr>
              <w:rFonts w:hint="eastAsia" w:ascii="仿宋" w:hAnsi="仿宋" w:eastAsia="仿宋" w:cs="仿宋"/>
              <w:snapToGrid w:val="0"/>
              <w:color w:val="000000"/>
              <w:kern w:val="0"/>
              <w:sz w:val="28"/>
              <w:szCs w:val="28"/>
              <w:lang w:val="en-US" w:eastAsia="en-US" w:bidi="ar-SA"/>
            </w:rPr>
            <w:t>17</w:t>
          </w:r>
          <w:r>
            <w:rPr>
              <w:rFonts w:hint="eastAsia" w:ascii="仿宋" w:hAnsi="仿宋" w:eastAsia="仿宋" w:cs="仿宋"/>
              <w:snapToGrid w:val="0"/>
              <w:color w:val="000000"/>
              <w:kern w:val="0"/>
              <w:sz w:val="28"/>
              <w:szCs w:val="28"/>
              <w:lang w:val="en-US" w:eastAsia="en-US" w:bidi="ar-SA"/>
            </w:rPr>
            <w:fldChar w:fldCharType="end"/>
          </w:r>
          <w:r>
            <w:rPr>
              <w:rFonts w:hint="eastAsia" w:ascii="仿宋" w:hAnsi="仿宋" w:eastAsia="仿宋" w:cs="仿宋"/>
              <w:snapToGrid w:val="0"/>
              <w:color w:val="000000"/>
              <w:kern w:val="0"/>
              <w:sz w:val="28"/>
              <w:szCs w:val="28"/>
              <w:lang w:val="en-US" w:eastAsia="zh-CN" w:bidi="ar-SA"/>
            </w:rPr>
            <w:fldChar w:fldCharType="end"/>
          </w:r>
        </w:p>
        <w:p w14:paraId="5E779A85">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0" w:firstLineChars="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_Toc10451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
              <w:bCs/>
              <w:snapToGrid w:val="0"/>
              <w:color w:val="000000"/>
              <w:spacing w:val="4"/>
              <w:kern w:val="0"/>
              <w:sz w:val="28"/>
              <w:szCs w:val="28"/>
              <w:lang w:val="en-US" w:eastAsia="zh-CN" w:bidi="ar-SA"/>
            </w:rPr>
            <w:t>第四章 重点工程</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en-US" w:bidi="ar-SA"/>
            </w:rPr>
            <w:fldChar w:fldCharType="begin"/>
          </w:r>
          <w:r>
            <w:rPr>
              <w:rFonts w:hint="eastAsia" w:ascii="仿宋" w:hAnsi="仿宋" w:eastAsia="仿宋" w:cs="仿宋"/>
              <w:snapToGrid w:val="0"/>
              <w:color w:val="000000"/>
              <w:kern w:val="0"/>
              <w:sz w:val="28"/>
              <w:szCs w:val="28"/>
              <w:lang w:val="en-US" w:eastAsia="en-US" w:bidi="ar-SA"/>
            </w:rPr>
            <w:instrText xml:space="preserve"> PAGEREF _Toc10451 \h </w:instrText>
          </w:r>
          <w:r>
            <w:rPr>
              <w:rFonts w:hint="eastAsia" w:ascii="仿宋" w:hAnsi="仿宋" w:eastAsia="仿宋" w:cs="仿宋"/>
              <w:snapToGrid w:val="0"/>
              <w:color w:val="000000"/>
              <w:kern w:val="0"/>
              <w:sz w:val="28"/>
              <w:szCs w:val="28"/>
              <w:lang w:val="en-US" w:eastAsia="en-US" w:bidi="ar-SA"/>
            </w:rPr>
            <w:fldChar w:fldCharType="separate"/>
          </w:r>
          <w:r>
            <w:rPr>
              <w:rFonts w:hint="eastAsia" w:ascii="仿宋" w:hAnsi="仿宋" w:eastAsia="仿宋" w:cs="仿宋"/>
              <w:snapToGrid w:val="0"/>
              <w:color w:val="000000"/>
              <w:kern w:val="0"/>
              <w:sz w:val="28"/>
              <w:szCs w:val="28"/>
              <w:lang w:val="en-US" w:eastAsia="en-US" w:bidi="ar-SA"/>
            </w:rPr>
            <w:t>18</w:t>
          </w:r>
          <w:r>
            <w:rPr>
              <w:rFonts w:hint="eastAsia" w:ascii="仿宋" w:hAnsi="仿宋" w:eastAsia="仿宋" w:cs="仿宋"/>
              <w:snapToGrid w:val="0"/>
              <w:color w:val="000000"/>
              <w:kern w:val="0"/>
              <w:sz w:val="28"/>
              <w:szCs w:val="28"/>
              <w:lang w:val="en-US" w:eastAsia="en-US" w:bidi="ar-SA"/>
            </w:rPr>
            <w:fldChar w:fldCharType="end"/>
          </w:r>
          <w:r>
            <w:rPr>
              <w:rFonts w:hint="eastAsia" w:ascii="仿宋" w:hAnsi="仿宋" w:eastAsia="仿宋" w:cs="仿宋"/>
              <w:snapToGrid w:val="0"/>
              <w:color w:val="000000"/>
              <w:kern w:val="0"/>
              <w:sz w:val="28"/>
              <w:szCs w:val="28"/>
              <w:lang w:val="en-US" w:eastAsia="zh-CN" w:bidi="ar-SA"/>
            </w:rPr>
            <w:fldChar w:fldCharType="end"/>
          </w:r>
        </w:p>
        <w:p w14:paraId="5C5F218D">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left="0" w:leftChars="0" w:firstLine="0" w:firstLineChars="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_Toc18049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
              <w:bCs/>
              <w:snapToGrid w:val="0"/>
              <w:color w:val="000000"/>
              <w:spacing w:val="4"/>
              <w:kern w:val="0"/>
              <w:sz w:val="28"/>
              <w:szCs w:val="28"/>
              <w:lang w:val="en-US" w:eastAsia="zh-CN" w:bidi="ar-SA"/>
            </w:rPr>
            <w:t>第五章 保障措施</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fldChar w:fldCharType="end"/>
          </w:r>
          <w:r>
            <w:rPr>
              <w:rFonts w:hint="eastAsia" w:ascii="仿宋" w:hAnsi="仿宋" w:eastAsia="仿宋" w:cs="仿宋"/>
              <w:snapToGrid w:val="0"/>
              <w:color w:val="000000"/>
              <w:kern w:val="0"/>
              <w:sz w:val="28"/>
              <w:szCs w:val="28"/>
              <w:lang w:val="en-US" w:eastAsia="zh-CN" w:bidi="ar-SA"/>
            </w:rPr>
            <w:t>19</w:t>
          </w:r>
        </w:p>
        <w:p w14:paraId="3FC09868">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firstLine="373" w:firstLineChars="10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_Toc30194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en-US" w:bidi="ar-SA"/>
            </w:rPr>
            <w:t>第一节</w:t>
          </w:r>
          <w:r>
            <w:rPr>
              <w:rFonts w:hint="eastAsia" w:ascii="仿宋" w:hAnsi="仿宋" w:eastAsia="仿宋" w:cs="仿宋"/>
              <w:bCs/>
              <w:snapToGrid w:val="0"/>
              <w:color w:val="000000"/>
              <w:spacing w:val="82"/>
              <w:kern w:val="0"/>
              <w:sz w:val="28"/>
              <w:szCs w:val="28"/>
              <w:lang w:val="en-US" w:eastAsia="en-US" w:bidi="ar-SA"/>
            </w:rPr>
            <w:t xml:space="preserve"> </w:t>
          </w:r>
          <w:r>
            <w:rPr>
              <w:rFonts w:hint="eastAsia" w:ascii="仿宋" w:hAnsi="仿宋" w:eastAsia="仿宋" w:cs="仿宋"/>
              <w:bCs/>
              <w:snapToGrid w:val="0"/>
              <w:color w:val="000000"/>
              <w:spacing w:val="5"/>
              <w:kern w:val="0"/>
              <w:sz w:val="28"/>
              <w:szCs w:val="28"/>
              <w:lang w:val="en-US" w:eastAsia="en-US" w:bidi="ar-SA"/>
            </w:rPr>
            <w:t>加强组织领导</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fldChar w:fldCharType="end"/>
          </w:r>
          <w:r>
            <w:rPr>
              <w:rFonts w:hint="eastAsia" w:ascii="仿宋" w:hAnsi="仿宋" w:eastAsia="仿宋" w:cs="仿宋"/>
              <w:snapToGrid w:val="0"/>
              <w:color w:val="000000"/>
              <w:kern w:val="0"/>
              <w:sz w:val="28"/>
              <w:szCs w:val="28"/>
              <w:lang w:val="en-US" w:eastAsia="zh-CN" w:bidi="ar-SA"/>
            </w:rPr>
            <w:t>19</w:t>
          </w:r>
        </w:p>
        <w:p w14:paraId="22B1D6EA">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firstLine="373" w:firstLineChars="10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_Toc15065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en-US" w:bidi="ar-SA"/>
            </w:rPr>
            <w:t>第二节</w:t>
          </w:r>
          <w:r>
            <w:rPr>
              <w:rFonts w:hint="eastAsia" w:ascii="仿宋" w:hAnsi="仿宋" w:eastAsia="仿宋" w:cs="仿宋"/>
              <w:bCs/>
              <w:snapToGrid w:val="0"/>
              <w:color w:val="000000"/>
              <w:spacing w:val="82"/>
              <w:kern w:val="0"/>
              <w:sz w:val="28"/>
              <w:szCs w:val="28"/>
              <w:lang w:val="en-US" w:eastAsia="en-US" w:bidi="ar-SA"/>
            </w:rPr>
            <w:t xml:space="preserve"> </w:t>
          </w:r>
          <w:r>
            <w:rPr>
              <w:rFonts w:hint="eastAsia" w:ascii="仿宋" w:hAnsi="仿宋" w:eastAsia="仿宋" w:cs="仿宋"/>
              <w:bCs/>
              <w:snapToGrid w:val="0"/>
              <w:color w:val="000000"/>
              <w:spacing w:val="5"/>
              <w:kern w:val="0"/>
              <w:sz w:val="28"/>
              <w:szCs w:val="28"/>
              <w:lang w:val="en-US" w:eastAsia="en-US" w:bidi="ar-SA"/>
            </w:rPr>
            <w:t>加强资金保障</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fldChar w:fldCharType="end"/>
          </w:r>
          <w:r>
            <w:rPr>
              <w:rFonts w:hint="eastAsia" w:ascii="仿宋" w:hAnsi="仿宋" w:eastAsia="仿宋" w:cs="仿宋"/>
              <w:snapToGrid w:val="0"/>
              <w:color w:val="000000"/>
              <w:kern w:val="0"/>
              <w:sz w:val="28"/>
              <w:szCs w:val="28"/>
              <w:lang w:val="en-US" w:eastAsia="zh-CN" w:bidi="ar-SA"/>
            </w:rPr>
            <w:t>19</w:t>
          </w:r>
        </w:p>
        <w:p w14:paraId="6CB8DEAE">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textAlignment w:val="baseline"/>
            <w:rPr>
              <w:rFonts w:hint="eastAsia" w:ascii="仿宋" w:hAnsi="仿宋" w:eastAsia="仿宋" w:cs="仿宋"/>
              <w:sz w:val="28"/>
              <w:szCs w:val="28"/>
              <w:lang w:val="en-US" w:eastAsia="zh-CN"/>
            </w:rPr>
            <w:sectPr>
              <w:footerReference r:id="rId18" w:type="default"/>
              <w:pgSz w:w="11906" w:h="16838"/>
              <w:pgMar w:top="1440" w:right="1800" w:bottom="1440" w:left="1800" w:header="850" w:footer="992" w:gutter="0"/>
              <w:pgNumType w:start="1"/>
              <w:cols w:space="0" w:num="1"/>
              <w:rtlGutter w:val="0"/>
              <w:docGrid w:type="linesAndChars" w:linePitch="579" w:charSpace="21686"/>
            </w:sectPr>
          </w:pPr>
        </w:p>
        <w:p w14:paraId="57E55B91">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firstLine="373" w:firstLineChars="10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_Toc29858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en-US" w:bidi="ar-SA"/>
            </w:rPr>
            <w:t>第三节</w:t>
          </w:r>
          <w:r>
            <w:rPr>
              <w:rFonts w:hint="eastAsia" w:ascii="仿宋" w:hAnsi="仿宋" w:eastAsia="仿宋" w:cs="仿宋"/>
              <w:bCs/>
              <w:snapToGrid w:val="0"/>
              <w:color w:val="000000"/>
              <w:spacing w:val="82"/>
              <w:kern w:val="0"/>
              <w:sz w:val="28"/>
              <w:szCs w:val="28"/>
              <w:lang w:val="en-US" w:eastAsia="en-US" w:bidi="ar-SA"/>
            </w:rPr>
            <w:t xml:space="preserve"> </w:t>
          </w:r>
          <w:r>
            <w:rPr>
              <w:rFonts w:hint="eastAsia" w:ascii="仿宋" w:hAnsi="仿宋" w:eastAsia="仿宋" w:cs="仿宋"/>
              <w:bCs/>
              <w:snapToGrid w:val="0"/>
              <w:color w:val="000000"/>
              <w:spacing w:val="5"/>
              <w:kern w:val="0"/>
              <w:sz w:val="28"/>
              <w:szCs w:val="28"/>
              <w:lang w:val="en-US" w:eastAsia="en-US" w:bidi="ar-SA"/>
            </w:rPr>
            <w:t>加强人才保障</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fldChar w:fldCharType="end"/>
          </w:r>
          <w:r>
            <w:rPr>
              <w:rFonts w:hint="eastAsia" w:cs="仿宋"/>
              <w:snapToGrid w:val="0"/>
              <w:color w:val="000000"/>
              <w:kern w:val="0"/>
              <w:sz w:val="28"/>
              <w:szCs w:val="28"/>
              <w:lang w:val="en-US" w:eastAsia="zh-CN" w:bidi="ar-SA"/>
            </w:rPr>
            <w:t>20</w:t>
          </w:r>
        </w:p>
        <w:p w14:paraId="14D1CBD3">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firstLine="373" w:firstLineChars="100"/>
            <w:jc w:val="left"/>
            <w:textAlignment w:val="baseline"/>
            <w:rPr>
              <w:rFonts w:hint="default"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_Toc26424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en-US" w:bidi="ar-SA"/>
            </w:rPr>
            <w:t>第四节</w:t>
          </w:r>
          <w:r>
            <w:rPr>
              <w:rFonts w:hint="eastAsia" w:ascii="仿宋" w:hAnsi="仿宋" w:eastAsia="仿宋" w:cs="仿宋"/>
              <w:bCs/>
              <w:snapToGrid w:val="0"/>
              <w:color w:val="000000"/>
              <w:spacing w:val="82"/>
              <w:kern w:val="0"/>
              <w:sz w:val="28"/>
              <w:szCs w:val="28"/>
              <w:lang w:val="en-US" w:eastAsia="en-US" w:bidi="ar-SA"/>
            </w:rPr>
            <w:t xml:space="preserve"> </w:t>
          </w:r>
          <w:r>
            <w:rPr>
              <w:rFonts w:hint="eastAsia" w:ascii="仿宋" w:hAnsi="仿宋" w:eastAsia="仿宋" w:cs="仿宋"/>
              <w:bCs/>
              <w:snapToGrid w:val="0"/>
              <w:color w:val="000000"/>
              <w:spacing w:val="5"/>
              <w:kern w:val="0"/>
              <w:sz w:val="28"/>
              <w:szCs w:val="28"/>
              <w:lang w:val="en-US" w:eastAsia="en-US" w:bidi="ar-SA"/>
            </w:rPr>
            <w:t>加强交流合作</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t>2</w:t>
          </w:r>
          <w:r>
            <w:rPr>
              <w:rFonts w:hint="eastAsia" w:ascii="仿宋" w:hAnsi="仿宋" w:eastAsia="仿宋" w:cs="仿宋"/>
              <w:snapToGrid w:val="0"/>
              <w:color w:val="000000"/>
              <w:kern w:val="0"/>
              <w:sz w:val="28"/>
              <w:szCs w:val="28"/>
              <w:lang w:val="en-US" w:eastAsia="zh-CN" w:bidi="ar-SA"/>
            </w:rPr>
            <w:fldChar w:fldCharType="end"/>
          </w:r>
          <w:r>
            <w:rPr>
              <w:rFonts w:hint="eastAsia" w:ascii="仿宋" w:hAnsi="仿宋" w:eastAsia="仿宋" w:cs="仿宋"/>
              <w:snapToGrid w:val="0"/>
              <w:color w:val="000000"/>
              <w:kern w:val="0"/>
              <w:sz w:val="28"/>
              <w:szCs w:val="28"/>
              <w:lang w:val="en-US" w:eastAsia="zh-CN" w:bidi="ar-SA"/>
            </w:rPr>
            <w:t>0</w:t>
          </w:r>
        </w:p>
        <w:p w14:paraId="1FDB4B55">
          <w:pPr>
            <w:keepNext w:val="0"/>
            <w:keepLines w:val="0"/>
            <w:pageBreakBefore w:val="0"/>
            <w:widowControl/>
            <w:tabs>
              <w:tab w:val="right" w:leader="dot" w:pos="8845"/>
            </w:tabs>
            <w:kinsoku w:val="0"/>
            <w:wordWrap/>
            <w:overflowPunct/>
            <w:topLinePunct w:val="0"/>
            <w:autoSpaceDE w:val="0"/>
            <w:autoSpaceDN w:val="0"/>
            <w:bidi w:val="0"/>
            <w:adjustRightInd w:val="0"/>
            <w:snapToGrid w:val="0"/>
            <w:spacing w:line="600" w:lineRule="exact"/>
            <w:ind w:firstLine="373" w:firstLineChars="100"/>
            <w:jc w:val="left"/>
            <w:textAlignment w:val="baseline"/>
            <w:rPr>
              <w:rFonts w:hint="default" w:ascii="Arial" w:hAnsi="Arial" w:eastAsia="Arial" w:cs="Arial"/>
              <w:snapToGrid w:val="0"/>
              <w:color w:val="000000"/>
              <w:kern w:val="0"/>
              <w:sz w:val="21"/>
              <w:szCs w:val="21"/>
              <w:lang w:val="en-US" w:eastAsia="en-US" w:bidi="ar-SA"/>
            </w:rPr>
          </w:pPr>
          <w:r>
            <w:rPr>
              <w:rFonts w:hint="eastAsia" w:ascii="仿宋" w:hAnsi="仿宋" w:eastAsia="仿宋" w:cs="仿宋"/>
              <w:snapToGrid w:val="0"/>
              <w:color w:val="000000"/>
              <w:kern w:val="0"/>
              <w:sz w:val="28"/>
              <w:szCs w:val="28"/>
              <w:lang w:val="en-US" w:eastAsia="zh-CN" w:bidi="ar-SA"/>
            </w:rPr>
            <w:fldChar w:fldCharType="begin"/>
          </w:r>
          <w:r>
            <w:rPr>
              <w:rFonts w:hint="eastAsia" w:ascii="仿宋" w:hAnsi="仿宋" w:eastAsia="仿宋" w:cs="仿宋"/>
              <w:snapToGrid w:val="0"/>
              <w:color w:val="000000"/>
              <w:kern w:val="0"/>
              <w:sz w:val="28"/>
              <w:szCs w:val="28"/>
              <w:lang w:val="en-US" w:eastAsia="zh-CN" w:bidi="ar-SA"/>
            </w:rPr>
            <w:instrText xml:space="preserve"> HYPERLINK \l _Toc17235 </w:instrText>
          </w:r>
          <w:r>
            <w:rPr>
              <w:rFonts w:hint="eastAsia" w:ascii="仿宋" w:hAnsi="仿宋" w:eastAsia="仿宋" w:cs="仿宋"/>
              <w:snapToGrid w:val="0"/>
              <w:color w:val="000000"/>
              <w:kern w:val="0"/>
              <w:sz w:val="28"/>
              <w:szCs w:val="28"/>
              <w:lang w:val="en-US" w:eastAsia="zh-CN" w:bidi="ar-SA"/>
            </w:rPr>
            <w:fldChar w:fldCharType="separate"/>
          </w:r>
          <w:r>
            <w:rPr>
              <w:rFonts w:hint="eastAsia" w:ascii="仿宋" w:hAnsi="仿宋" w:eastAsia="仿宋" w:cs="仿宋"/>
              <w:bCs/>
              <w:snapToGrid w:val="0"/>
              <w:color w:val="000000"/>
              <w:spacing w:val="5"/>
              <w:kern w:val="0"/>
              <w:sz w:val="28"/>
              <w:szCs w:val="28"/>
              <w:lang w:val="en-US" w:eastAsia="en-US" w:bidi="ar-SA"/>
            </w:rPr>
            <w:t>第五节</w:t>
          </w:r>
          <w:r>
            <w:rPr>
              <w:rFonts w:hint="eastAsia" w:ascii="仿宋" w:hAnsi="仿宋" w:eastAsia="仿宋" w:cs="仿宋"/>
              <w:bCs/>
              <w:snapToGrid w:val="0"/>
              <w:color w:val="000000"/>
              <w:spacing w:val="82"/>
              <w:kern w:val="0"/>
              <w:sz w:val="28"/>
              <w:szCs w:val="28"/>
              <w:lang w:val="en-US" w:eastAsia="en-US" w:bidi="ar-SA"/>
            </w:rPr>
            <w:t xml:space="preserve"> </w:t>
          </w:r>
          <w:r>
            <w:rPr>
              <w:rFonts w:hint="eastAsia" w:ascii="仿宋" w:hAnsi="仿宋" w:eastAsia="仿宋" w:cs="仿宋"/>
              <w:bCs/>
              <w:snapToGrid w:val="0"/>
              <w:color w:val="000000"/>
              <w:spacing w:val="5"/>
              <w:kern w:val="0"/>
              <w:sz w:val="28"/>
              <w:szCs w:val="28"/>
              <w:lang w:val="en-US" w:eastAsia="en-US" w:bidi="ar-SA"/>
            </w:rPr>
            <w:t>加强评估考核</w:t>
          </w:r>
          <w:r>
            <w:rPr>
              <w:rFonts w:hint="eastAsia" w:ascii="仿宋" w:hAnsi="仿宋" w:eastAsia="仿宋" w:cs="仿宋"/>
              <w:snapToGrid w:val="0"/>
              <w:color w:val="000000"/>
              <w:kern w:val="0"/>
              <w:sz w:val="28"/>
              <w:szCs w:val="28"/>
              <w:lang w:val="en-US" w:eastAsia="en-US" w:bidi="ar-SA"/>
            </w:rPr>
            <w:tab/>
          </w:r>
          <w:r>
            <w:rPr>
              <w:rFonts w:hint="eastAsia" w:ascii="仿宋" w:hAnsi="仿宋" w:eastAsia="仿宋" w:cs="仿宋"/>
              <w:snapToGrid w:val="0"/>
              <w:color w:val="000000"/>
              <w:kern w:val="0"/>
              <w:sz w:val="28"/>
              <w:szCs w:val="28"/>
              <w:lang w:val="en-US" w:eastAsia="zh-CN" w:bidi="ar-SA"/>
            </w:rPr>
            <w:t>2</w:t>
          </w:r>
          <w:r>
            <w:rPr>
              <w:rFonts w:hint="eastAsia" w:ascii="仿宋" w:hAnsi="仿宋" w:eastAsia="仿宋" w:cs="仿宋"/>
              <w:snapToGrid w:val="0"/>
              <w:color w:val="000000"/>
              <w:kern w:val="0"/>
              <w:sz w:val="28"/>
              <w:szCs w:val="28"/>
              <w:lang w:val="en-US" w:eastAsia="zh-CN" w:bidi="ar-SA"/>
            </w:rPr>
            <w:fldChar w:fldCharType="end"/>
          </w:r>
          <w:r>
            <w:rPr>
              <w:rFonts w:hint="eastAsia" w:ascii="仿宋" w:hAnsi="仿宋" w:eastAsia="仿宋" w:cs="仿宋"/>
              <w:snapToGrid w:val="0"/>
              <w:color w:val="000000"/>
              <w:kern w:val="0"/>
              <w:sz w:val="28"/>
              <w:szCs w:val="28"/>
              <w:lang w:val="en-US" w:eastAsia="zh-CN" w:bidi="ar-SA"/>
            </w:rPr>
            <w:t>0</w:t>
          </w:r>
        </w:p>
        <w:p w14:paraId="284DA51A">
          <w:pPr>
            <w:spacing w:line="185" w:lineRule="auto"/>
            <w:ind w:left="0" w:leftChars="0" w:firstLine="0" w:firstLineChars="0"/>
            <w:jc w:val="both"/>
            <w:rPr>
              <w:rFonts w:hint="eastAsia" w:ascii="Arial" w:hAnsi="Arial" w:eastAsia="宋体" w:cs="Arial"/>
              <w:snapToGrid w:val="0"/>
              <w:color w:val="000000"/>
              <w:spacing w:val="0"/>
              <w:kern w:val="0"/>
              <w:sz w:val="21"/>
              <w:szCs w:val="21"/>
              <w:lang w:val="en-US" w:eastAsia="zh-CN" w:bidi="ar-SA"/>
            </w:rPr>
            <w:sectPr>
              <w:footerReference r:id="rId19" w:type="default"/>
              <w:pgSz w:w="11906" w:h="16838"/>
              <w:pgMar w:top="1440" w:right="1800" w:bottom="1440" w:left="1800" w:header="850" w:footer="992" w:gutter="0"/>
              <w:cols w:space="0" w:num="1"/>
              <w:rtlGutter w:val="0"/>
              <w:docGrid w:type="linesAndChars" w:linePitch="579" w:charSpace="21686"/>
            </w:sectPr>
          </w:pPr>
          <w:r>
            <w:rPr>
              <w:rFonts w:hint="eastAsia" w:ascii="Arial" w:hAnsi="Arial" w:eastAsia="宋体" w:cs="Arial"/>
              <w:snapToGrid w:val="0"/>
              <w:color w:val="000000"/>
              <w:spacing w:val="0"/>
              <w:kern w:val="0"/>
              <w:sz w:val="21"/>
              <w:szCs w:val="21"/>
              <w:lang w:val="en-US" w:eastAsia="zh-CN"/>
            </w:rPr>
            <w:t>　　</w:t>
          </w:r>
          <w:r>
            <w:rPr>
              <w:rFonts w:hint="eastAsia" w:ascii="Arial" w:hAnsi="Arial" w:eastAsia="宋体" w:cs="Arial"/>
              <w:snapToGrid w:val="0"/>
              <w:color w:val="000000"/>
              <w:spacing w:val="0"/>
              <w:kern w:val="0"/>
              <w:sz w:val="21"/>
              <w:szCs w:val="21"/>
              <w:lang w:val="en-US" w:eastAsia="zh-CN"/>
            </w:rPr>
            <w:fldChar w:fldCharType="end"/>
          </w:r>
        </w:p>
      </w:sdtContent>
    </w:sdt>
    <w:p w14:paraId="271A68C2">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snapToGrid w:val="0"/>
          <w:color w:val="auto"/>
          <w:spacing w:val="-6"/>
          <w:sz w:val="44"/>
          <w:szCs w:val="44"/>
          <w:lang w:val="en-US" w:eastAsia="zh-CN"/>
        </w:rPr>
      </w:pPr>
      <w:bookmarkStart w:id="118" w:name="_Toc10337"/>
      <w:r>
        <w:rPr>
          <w:rFonts w:hint="eastAsia" w:ascii="方正小标宋简体" w:hAnsi="方正小标宋简体" w:eastAsia="方正小标宋简体" w:cs="方正小标宋简体"/>
          <w:snapToGrid w:val="0"/>
          <w:color w:val="auto"/>
          <w:spacing w:val="-6"/>
          <w:sz w:val="44"/>
          <w:szCs w:val="44"/>
          <w:lang w:val="en-US" w:eastAsia="zh-CN"/>
        </w:rPr>
        <w:t>墨玉县安全生产</w:t>
      </w:r>
    </w:p>
    <w:p w14:paraId="57A41826">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snapToGrid w:val="0"/>
          <w:color w:val="auto"/>
          <w:spacing w:val="-6"/>
          <w:sz w:val="44"/>
          <w:szCs w:val="44"/>
          <w:lang w:val="en-US" w:eastAsia="zh-CN"/>
        </w:rPr>
      </w:pPr>
      <w:r>
        <w:rPr>
          <w:rFonts w:hint="eastAsia" w:ascii="方正小标宋简体" w:hAnsi="方正小标宋简体" w:eastAsia="方正小标宋简体" w:cs="方正小标宋简体"/>
          <w:snapToGrid w:val="0"/>
          <w:color w:val="auto"/>
          <w:spacing w:val="-6"/>
          <w:sz w:val="44"/>
          <w:szCs w:val="44"/>
          <w:lang w:val="en-US" w:eastAsia="zh-CN"/>
        </w:rPr>
        <w:t>“十五五”实施方案（2026—2030年）</w:t>
      </w:r>
    </w:p>
    <w:p w14:paraId="1B60EA36">
      <w:pPr>
        <w:keepNext w:val="0"/>
        <w:keepLines w:val="0"/>
        <w:pageBreakBefore w:val="0"/>
        <w:widowControl w:val="0"/>
        <w:kinsoku/>
        <w:wordWrap/>
        <w:overflowPunct/>
        <w:topLinePunct w:val="0"/>
        <w:autoSpaceDE/>
        <w:autoSpaceDN/>
        <w:bidi w:val="0"/>
        <w:adjustRightInd w:val="0"/>
        <w:snapToGrid w:val="0"/>
        <w:spacing w:after="0" w:afterLines="0" w:afterAutospacing="0" w:line="560" w:lineRule="exact"/>
        <w:ind w:firstLine="0" w:firstLineChars="0"/>
        <w:jc w:val="center"/>
        <w:textAlignment w:val="auto"/>
        <w:outlineLvl w:val="0"/>
        <w:rPr>
          <w:rFonts w:hint="eastAsia" w:ascii="方正小标宋简体" w:hAnsi="方正小标宋简体" w:eastAsia="方正小标宋简体" w:cs="方正小标宋简体"/>
          <w:snapToGrid w:val="0"/>
          <w:color w:val="auto"/>
          <w:spacing w:val="-6"/>
          <w:sz w:val="44"/>
          <w:szCs w:val="44"/>
          <w:lang w:val="en-US" w:eastAsia="en-US"/>
        </w:rPr>
      </w:pPr>
    </w:p>
    <w:p w14:paraId="3FD45DF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val="0"/>
        <w:wordWrap/>
        <w:overflowPunct/>
        <w:topLinePunct w:val="0"/>
        <w:autoSpaceDE w:val="0"/>
        <w:autoSpaceDN w:val="0"/>
        <w:bidi w:val="0"/>
        <w:adjustRightInd w:val="0"/>
        <w:snapToGrid w:val="0"/>
        <w:spacing w:before="0" w:beforeAutospacing="0" w:after="0" w:afterAutospacing="0" w:line="560" w:lineRule="exact"/>
        <w:ind w:right="0" w:firstLine="0" w:firstLineChars="0"/>
        <w:jc w:val="both"/>
        <w:textAlignment w:val="baseline"/>
        <w:outlineLvl w:val="9"/>
        <w:rPr>
          <w:rFonts w:hint="default" w:ascii="方正仿宋_GB2312" w:hAnsi="方正仿宋_GB2312" w:eastAsia="方正仿宋_GB2312" w:cs="方正仿宋_GB2312"/>
          <w:snapToGrid w:val="0"/>
          <w:color w:val="000000"/>
          <w:spacing w:val="7"/>
          <w:kern w:val="0"/>
          <w:position w:val="1"/>
          <w:sz w:val="32"/>
          <w:szCs w:val="32"/>
          <w:lang w:val="en-US" w:eastAsia="zh-CN"/>
        </w:rPr>
      </w:pPr>
      <w:r>
        <w:rPr>
          <w:rFonts w:hint="eastAsia" w:ascii="方正仿宋_GB2312" w:hAnsi="方正仿宋_GB2312" w:eastAsia="方正仿宋_GB2312" w:cs="方正仿宋_GB2312"/>
          <w:b w:val="0"/>
          <w:bCs w:val="0"/>
          <w:snapToGrid w:val="0"/>
          <w:color w:val="000000"/>
          <w:spacing w:val="7"/>
          <w:kern w:val="0"/>
          <w:position w:val="1"/>
          <w:sz w:val="32"/>
          <w:szCs w:val="32"/>
          <w:lang w:val="en-US" w:eastAsia="zh-CN"/>
        </w:rPr>
        <w:t>　</w:t>
      </w:r>
      <w:r>
        <w:rPr>
          <w:rFonts w:hint="eastAsia" w:ascii="仿宋_GB2312" w:hAnsi="仿宋_GB2312" w:eastAsia="仿宋_GB2312" w:cs="仿宋_GB2312"/>
          <w:b w:val="0"/>
          <w:bCs w:val="0"/>
          <w:snapToGrid w:val="0"/>
          <w:color w:val="000000"/>
          <w:spacing w:val="7"/>
          <w:kern w:val="0"/>
          <w:position w:val="1"/>
          <w:sz w:val="32"/>
          <w:szCs w:val="32"/>
          <w:lang w:val="en-US" w:eastAsia="zh-CN"/>
        </w:rPr>
        <w:t>　为深入贯彻习近平总书记关于安全生产重要论述，坚持统筹发展和安全，发展是安全的基础，安全是发展的保障，以高效能治理促进高质量发展和高水平安全良性互动，以新安全格局保障新发展格局，推动我县进一步树牢新发展理念，提升安全生产事故预防和应急管理能力，防范化解重大安全风险，切实维护人民群众生命财产安全和社会稳定，根据《新疆维吾尔自治区安全生产“十五五”规划》《和田地区国民经济和社会发展第十五个五年规划和二</w:t>
      </w:r>
      <w:r>
        <w:rPr>
          <w:rFonts w:hint="eastAsia" w:ascii="仿宋_GB2312" w:hAnsi="仿宋_GB2312" w:eastAsia="仿宋_GB2312" w:cs="仿宋_GB2312"/>
          <w:b w:val="0"/>
          <w:bCs w:val="0"/>
          <w:i w:val="0"/>
          <w:iCs w:val="0"/>
          <w:caps w:val="0"/>
          <w:snapToGrid w:val="0"/>
          <w:color w:val="333333"/>
          <w:spacing w:val="0"/>
          <w:kern w:val="0"/>
          <w:sz w:val="32"/>
          <w:szCs w:val="32"/>
          <w:shd w:val="clear" w:fill="FFFFFF"/>
          <w:lang w:eastAsia="en-US"/>
        </w:rPr>
        <w:t>〇</w:t>
      </w:r>
      <w:r>
        <w:rPr>
          <w:rFonts w:hint="eastAsia" w:ascii="仿宋_GB2312" w:hAnsi="仿宋_GB2312" w:eastAsia="仿宋_GB2312" w:cs="仿宋_GB2312"/>
          <w:b w:val="0"/>
          <w:bCs w:val="0"/>
          <w:snapToGrid w:val="0"/>
          <w:color w:val="000000"/>
          <w:spacing w:val="7"/>
          <w:kern w:val="0"/>
          <w:position w:val="1"/>
          <w:sz w:val="32"/>
          <w:szCs w:val="32"/>
          <w:lang w:val="en-US" w:eastAsia="zh-CN"/>
        </w:rPr>
        <w:t>三五年远景目标纲要》等相关文件精神，结合本县实际，制定本方案。</w:t>
      </w:r>
    </w:p>
    <w:p w14:paraId="3BEBACD2">
      <w:pPr>
        <w:keepNext w:val="0"/>
        <w:keepLines w:val="0"/>
        <w:pageBreakBefore w:val="0"/>
        <w:widowControl/>
        <w:kinsoku w:val="0"/>
        <w:wordWrap/>
        <w:overflowPunct/>
        <w:topLinePunct w:val="0"/>
        <w:autoSpaceDE w:val="0"/>
        <w:autoSpaceDN w:val="0"/>
        <w:bidi w:val="0"/>
        <w:adjustRightInd w:val="0"/>
        <w:snapToGrid w:val="0"/>
        <w:spacing w:line="576" w:lineRule="exact"/>
        <w:ind w:firstLine="0" w:firstLineChars="0"/>
        <w:jc w:val="center"/>
        <w:textAlignment w:val="baseline"/>
        <w:outlineLvl w:val="0"/>
        <w:rPr>
          <w:rFonts w:hint="default" w:ascii="Arial" w:hAnsi="Arial" w:eastAsia="宋体" w:cs="Arial"/>
          <w:snapToGrid w:val="0"/>
          <w:color w:val="000000"/>
          <w:spacing w:val="0"/>
          <w:kern w:val="0"/>
          <w:sz w:val="21"/>
          <w:szCs w:val="21"/>
          <w:lang w:val="en-US" w:eastAsia="zh-CN"/>
        </w:rPr>
      </w:pPr>
      <w:r>
        <w:rPr>
          <w:rFonts w:hint="eastAsia" w:ascii="黑体" w:hAnsi="黑体" w:eastAsia="黑体" w:cs="黑体"/>
          <w:snapToGrid w:val="0"/>
          <w:color w:val="000000"/>
          <w:spacing w:val="7"/>
          <w:kern w:val="0"/>
          <w:position w:val="1"/>
          <w:sz w:val="32"/>
          <w:szCs w:val="32"/>
          <w:lang w:val="en-US" w:eastAsia="zh-CN"/>
        </w:rPr>
        <w:t xml:space="preserve"> </w:t>
      </w:r>
      <w:r>
        <w:rPr>
          <w:rFonts w:ascii="黑体" w:hAnsi="黑体" w:eastAsia="黑体" w:cs="黑体"/>
          <w:snapToGrid w:val="0"/>
          <w:color w:val="000000"/>
          <w:spacing w:val="7"/>
          <w:kern w:val="0"/>
          <w:position w:val="1"/>
          <w:sz w:val="32"/>
          <w:szCs w:val="32"/>
          <w:lang w:eastAsia="en-US"/>
        </w:rPr>
        <w:t>第一章</w:t>
      </w:r>
      <w:r>
        <w:rPr>
          <w:rFonts w:hint="eastAsia" w:ascii="黑体" w:hAnsi="黑体" w:eastAsia="黑体" w:cs="黑体"/>
          <w:snapToGrid w:val="0"/>
          <w:color w:val="000000"/>
          <w:spacing w:val="7"/>
          <w:kern w:val="0"/>
          <w:position w:val="1"/>
          <w:sz w:val="32"/>
          <w:szCs w:val="32"/>
          <w:lang w:val="en-US" w:eastAsia="zh-CN"/>
        </w:rPr>
        <w:t xml:space="preserve">  </w:t>
      </w:r>
      <w:r>
        <w:rPr>
          <w:rFonts w:ascii="黑体" w:hAnsi="黑体" w:eastAsia="黑体" w:cs="黑体"/>
          <w:snapToGrid w:val="0"/>
          <w:color w:val="000000"/>
          <w:spacing w:val="7"/>
          <w:kern w:val="0"/>
          <w:position w:val="1"/>
          <w:sz w:val="32"/>
          <w:szCs w:val="32"/>
          <w:lang w:eastAsia="en-US"/>
        </w:rPr>
        <w:t>现状和面临的形势</w:t>
      </w:r>
      <w:bookmarkEnd w:id="118"/>
    </w:p>
    <w:p w14:paraId="04BE3A0E">
      <w:pPr>
        <w:keepNext w:val="0"/>
        <w:keepLines w:val="0"/>
        <w:pageBreakBefore w:val="0"/>
        <w:widowControl/>
        <w:kinsoku w:val="0"/>
        <w:wordWrap/>
        <w:overflowPunct/>
        <w:topLinePunct w:val="0"/>
        <w:autoSpaceDE w:val="0"/>
        <w:autoSpaceDN w:val="0"/>
        <w:bidi w:val="0"/>
        <w:adjustRightInd w:val="0"/>
        <w:snapToGrid w:val="0"/>
        <w:spacing w:line="560" w:lineRule="exact"/>
        <w:ind w:firstLine="660" w:firstLineChars="200"/>
        <w:jc w:val="center"/>
        <w:textAlignment w:val="baseline"/>
        <w:outlineLvl w:val="0"/>
        <w:rPr>
          <w:rFonts w:hint="eastAsia" w:ascii="方正楷体简体" w:hAnsi="方正楷体简体" w:eastAsia="方正楷体简体" w:cs="方正楷体简体"/>
          <w:b/>
          <w:bCs/>
          <w:snapToGrid w:val="0"/>
          <w:color w:val="000000"/>
          <w:spacing w:val="7"/>
          <w:kern w:val="0"/>
          <w:position w:val="1"/>
          <w:sz w:val="32"/>
          <w:szCs w:val="32"/>
          <w:lang w:val="en-US" w:eastAsia="zh-CN"/>
        </w:rPr>
      </w:pPr>
      <w:bookmarkStart w:id="119" w:name="_Toc29075"/>
      <w:r>
        <w:rPr>
          <w:rFonts w:hint="eastAsia" w:ascii="方正楷体简体" w:hAnsi="方正楷体简体" w:eastAsia="方正楷体简体" w:cs="方正楷体简体"/>
          <w:b/>
          <w:bCs/>
          <w:snapToGrid w:val="0"/>
          <w:color w:val="000000"/>
          <w:spacing w:val="7"/>
          <w:kern w:val="0"/>
          <w:position w:val="1"/>
          <w:sz w:val="32"/>
          <w:szCs w:val="32"/>
          <w:lang w:val="en-US" w:eastAsia="zh-CN"/>
        </w:rPr>
        <w:t>第一节  “十四五”取得的成效</w:t>
      </w:r>
      <w:bookmarkEnd w:id="119"/>
    </w:p>
    <w:p w14:paraId="14DE0405">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left"/>
        <w:textAlignment w:val="baseline"/>
        <w:outlineLvl w:val="9"/>
        <w:rPr>
          <w:rFonts w:hint="eastAsia" w:ascii="仿宋_GB2312" w:hAnsi="仿宋_GB2312" w:eastAsia="仿宋_GB2312" w:cs="仿宋_GB2312"/>
          <w:b w:val="0"/>
          <w:bCs w:val="0"/>
          <w:snapToGrid w:val="0"/>
          <w:color w:val="000000"/>
          <w:spacing w:val="7"/>
          <w:kern w:val="0"/>
          <w:position w:val="1"/>
          <w:sz w:val="32"/>
          <w:szCs w:val="32"/>
          <w:highlight w:val="none"/>
          <w:lang w:val="en-US" w:eastAsia="zh-CN"/>
        </w:rPr>
      </w:pPr>
      <w:r>
        <w:rPr>
          <w:rFonts w:hint="eastAsia" w:ascii="仿宋_GB2312" w:hAnsi="仿宋_GB2312" w:eastAsia="仿宋_GB2312" w:cs="仿宋_GB2312"/>
          <w:b w:val="0"/>
          <w:bCs w:val="0"/>
          <w:snapToGrid w:val="0"/>
          <w:color w:val="000000"/>
          <w:spacing w:val="7"/>
          <w:kern w:val="0"/>
          <w:position w:val="1"/>
          <w:sz w:val="32"/>
          <w:szCs w:val="32"/>
          <w:highlight w:val="none"/>
          <w:lang w:val="en-US" w:eastAsia="zh-CN"/>
        </w:rPr>
        <w:t>　　“十四五”期间，在县委、县政府的高度重视和正确领导下，应急管理局深入贯彻落实习近平总书记关于应急管理、安全生产的重要论述精神，全面贯彻落实新时代党的治疆方略，紧紧围绕社会稳定和长治久安总目标，严格依照《中华人民共和国安全生产法》《“十四五”国家应急体系规划》《新疆维吾尔自治区安全生产条例》等法律法规和政策要求，扎实推进应急管理改革，健全完善安全生产责任体系，强化安全风险防控，深化隐患排查治理，坚决防范遏制重特大生产安全事故，有力有序有效应对各类自然灾害。</w:t>
      </w:r>
    </w:p>
    <w:p w14:paraId="0D205D2B">
      <w:pPr>
        <w:keepNext w:val="0"/>
        <w:keepLines w:val="0"/>
        <w:pageBreakBefore w:val="0"/>
        <w:widowControl/>
        <w:kinsoku w:val="0"/>
        <w:wordWrap/>
        <w:overflowPunct/>
        <w:topLinePunct w:val="0"/>
        <w:autoSpaceDE w:val="0"/>
        <w:autoSpaceDN w:val="0"/>
        <w:bidi w:val="0"/>
        <w:adjustRightInd w:val="0"/>
        <w:snapToGrid w:val="0"/>
        <w:spacing w:line="560" w:lineRule="exact"/>
        <w:ind w:firstLine="330" w:firstLineChars="100"/>
        <w:jc w:val="both"/>
        <w:textAlignment w:val="baseline"/>
        <w:outlineLvl w:val="9"/>
        <w:rPr>
          <w:rFonts w:hint="eastAsia" w:ascii="仿宋_GB2312" w:hAnsi="仿宋_GB2312" w:eastAsia="仿宋_GB2312" w:cs="仿宋_GB2312"/>
          <w:b w:val="0"/>
          <w:bCs w:val="0"/>
          <w:snapToGrid w:val="0"/>
          <w:color w:val="000000"/>
          <w:spacing w:val="7"/>
          <w:kern w:val="0"/>
          <w:position w:val="1"/>
          <w:sz w:val="32"/>
          <w:szCs w:val="32"/>
          <w:lang w:val="en-US" w:eastAsia="zh-CN"/>
        </w:rPr>
      </w:pPr>
      <w:r>
        <w:rPr>
          <w:rFonts w:hint="eastAsia" w:ascii="仿宋_GB2312" w:hAnsi="仿宋_GB2312" w:eastAsia="仿宋_GB2312" w:cs="仿宋_GB2312"/>
          <w:b w:val="0"/>
          <w:bCs w:val="0"/>
          <w:snapToGrid w:val="0"/>
          <w:color w:val="000000"/>
          <w:spacing w:val="7"/>
          <w:kern w:val="0"/>
          <w:position w:val="1"/>
          <w:sz w:val="32"/>
          <w:szCs w:val="32"/>
          <w:lang w:val="en-US" w:eastAsia="zh-CN"/>
        </w:rPr>
        <w:t>《墨玉县安全生产“十四五”规划》指标进展情况评估表</w:t>
      </w:r>
    </w:p>
    <w:tbl>
      <w:tblPr>
        <w:tblStyle w:val="49"/>
        <w:tblW w:w="521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9"/>
        <w:gridCol w:w="579"/>
        <w:gridCol w:w="5185"/>
        <w:gridCol w:w="2906"/>
      </w:tblGrid>
      <w:tr w14:paraId="652A3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30" w:hRule="atLeast"/>
        </w:trPr>
        <w:tc>
          <w:tcPr>
            <w:tcW w:w="313" w:type="pct"/>
            <w:tcBorders>
              <w:top w:val="single" w:color="000000" w:sz="10" w:space="0"/>
              <w:left w:val="single" w:color="000000" w:sz="10" w:space="0"/>
              <w:bottom w:val="nil"/>
            </w:tcBorders>
            <w:vAlign w:val="top"/>
          </w:tcPr>
          <w:p w14:paraId="430E3DC1">
            <w:pPr>
              <w:widowControl/>
              <w:kinsoku w:val="0"/>
              <w:autoSpaceDE w:val="0"/>
              <w:autoSpaceDN w:val="0"/>
              <w:spacing w:before="65" w:line="232" w:lineRule="auto"/>
              <w:ind w:firstLine="0" w:firstLineChars="0"/>
              <w:jc w:val="center"/>
              <w:textAlignment w:val="baseline"/>
              <w:rPr>
                <w:rFonts w:hint="eastAsia" w:ascii="方正仿宋_GB2312" w:hAnsi="方正仿宋_GB2312" w:eastAsia="方正仿宋_GB2312" w:cs="方正仿宋_GB2312"/>
                <w:b/>
                <w:bCs/>
                <w:snapToGrid w:val="0"/>
                <w:color w:val="auto"/>
                <w:spacing w:val="-1"/>
                <w:kern w:val="0"/>
                <w:sz w:val="24"/>
                <w:szCs w:val="24"/>
                <w:lang w:eastAsia="en-US"/>
              </w:rPr>
            </w:pPr>
            <w:r>
              <w:rPr>
                <w:rFonts w:hint="eastAsia" w:ascii="方正仿宋_GB2312" w:hAnsi="方正仿宋_GB2312" w:eastAsia="方正仿宋_GB2312" w:cs="方正仿宋_GB2312"/>
                <w:b/>
                <w:bCs/>
                <w:snapToGrid w:val="0"/>
                <w:color w:val="auto"/>
                <w:spacing w:val="-1"/>
                <w:kern w:val="0"/>
                <w:sz w:val="24"/>
                <w:szCs w:val="24"/>
                <w:lang w:eastAsia="en-US"/>
              </w:rPr>
              <w:t>分</w:t>
            </w:r>
          </w:p>
          <w:p w14:paraId="2D2AF785">
            <w:pPr>
              <w:widowControl/>
              <w:kinsoku w:val="0"/>
              <w:autoSpaceDE w:val="0"/>
              <w:autoSpaceDN w:val="0"/>
              <w:spacing w:before="65" w:line="232" w:lineRule="auto"/>
              <w:ind w:firstLine="0" w:firstLineChars="0"/>
              <w:jc w:val="center"/>
              <w:textAlignment w:val="baseline"/>
              <w:rPr>
                <w:rFonts w:hint="eastAsia" w:ascii="方正仿宋_GB2312" w:hAnsi="方正仿宋_GB2312" w:eastAsia="方正仿宋_GB2312" w:cs="方正仿宋_GB2312"/>
                <w:snapToGrid w:val="0"/>
                <w:color w:val="auto"/>
                <w:spacing w:val="0"/>
                <w:kern w:val="0"/>
                <w:sz w:val="24"/>
                <w:szCs w:val="24"/>
                <w:lang w:eastAsia="en-US"/>
              </w:rPr>
            </w:pPr>
            <w:r>
              <w:rPr>
                <w:rFonts w:hint="eastAsia" w:ascii="方正仿宋_GB2312" w:hAnsi="方正仿宋_GB2312" w:eastAsia="方正仿宋_GB2312" w:cs="方正仿宋_GB2312"/>
                <w:b/>
                <w:bCs/>
                <w:snapToGrid w:val="0"/>
                <w:color w:val="auto"/>
                <w:spacing w:val="-1"/>
                <w:kern w:val="0"/>
                <w:sz w:val="24"/>
                <w:szCs w:val="24"/>
                <w:lang w:eastAsia="en-US"/>
              </w:rPr>
              <w:t>类</w:t>
            </w:r>
          </w:p>
        </w:tc>
        <w:tc>
          <w:tcPr>
            <w:tcW w:w="313" w:type="pct"/>
            <w:tcBorders>
              <w:top w:val="single" w:color="000000" w:sz="10" w:space="0"/>
              <w:bottom w:val="nil"/>
            </w:tcBorders>
            <w:vAlign w:val="top"/>
          </w:tcPr>
          <w:p w14:paraId="4D514792">
            <w:pPr>
              <w:widowControl/>
              <w:kinsoku w:val="0"/>
              <w:autoSpaceDE w:val="0"/>
              <w:autoSpaceDN w:val="0"/>
              <w:spacing w:before="65" w:line="232" w:lineRule="auto"/>
              <w:ind w:firstLine="0" w:firstLineChars="0"/>
              <w:jc w:val="center"/>
              <w:textAlignment w:val="baseline"/>
              <w:rPr>
                <w:rFonts w:hint="eastAsia" w:ascii="方正仿宋_GB2312" w:hAnsi="方正仿宋_GB2312" w:eastAsia="方正仿宋_GB2312" w:cs="方正仿宋_GB2312"/>
                <w:b/>
                <w:bCs/>
                <w:snapToGrid w:val="0"/>
                <w:color w:val="auto"/>
                <w:spacing w:val="-1"/>
                <w:kern w:val="0"/>
                <w:sz w:val="24"/>
                <w:szCs w:val="24"/>
                <w:lang w:eastAsia="en-US"/>
              </w:rPr>
            </w:pPr>
            <w:r>
              <w:rPr>
                <w:rFonts w:hint="eastAsia" w:ascii="方正仿宋_GB2312" w:hAnsi="方正仿宋_GB2312" w:eastAsia="方正仿宋_GB2312" w:cs="方正仿宋_GB2312"/>
                <w:b/>
                <w:bCs/>
                <w:snapToGrid w:val="0"/>
                <w:color w:val="auto"/>
                <w:spacing w:val="-1"/>
                <w:kern w:val="0"/>
                <w:sz w:val="24"/>
                <w:szCs w:val="24"/>
                <w:lang w:eastAsia="en-US"/>
              </w:rPr>
              <w:t>序</w:t>
            </w:r>
          </w:p>
          <w:p w14:paraId="21039023">
            <w:pPr>
              <w:widowControl/>
              <w:kinsoku w:val="0"/>
              <w:autoSpaceDE w:val="0"/>
              <w:autoSpaceDN w:val="0"/>
              <w:spacing w:before="65" w:line="232" w:lineRule="auto"/>
              <w:ind w:firstLine="0" w:firstLineChars="0"/>
              <w:jc w:val="center"/>
              <w:textAlignment w:val="baseline"/>
              <w:rPr>
                <w:rFonts w:hint="eastAsia" w:ascii="方正仿宋_GB2312" w:hAnsi="方正仿宋_GB2312" w:eastAsia="方正仿宋_GB2312" w:cs="方正仿宋_GB2312"/>
                <w:snapToGrid w:val="0"/>
                <w:color w:val="auto"/>
                <w:spacing w:val="0"/>
                <w:kern w:val="0"/>
                <w:sz w:val="24"/>
                <w:szCs w:val="24"/>
                <w:lang w:eastAsia="en-US"/>
              </w:rPr>
            </w:pPr>
            <w:r>
              <w:rPr>
                <w:rFonts w:hint="eastAsia" w:ascii="方正仿宋_GB2312" w:hAnsi="方正仿宋_GB2312" w:eastAsia="方正仿宋_GB2312" w:cs="方正仿宋_GB2312"/>
                <w:b/>
                <w:bCs/>
                <w:snapToGrid w:val="0"/>
                <w:color w:val="auto"/>
                <w:spacing w:val="-1"/>
                <w:kern w:val="0"/>
                <w:sz w:val="24"/>
                <w:szCs w:val="24"/>
                <w:lang w:eastAsia="en-US"/>
              </w:rPr>
              <w:t>号</w:t>
            </w:r>
          </w:p>
        </w:tc>
        <w:tc>
          <w:tcPr>
            <w:tcW w:w="2801" w:type="pct"/>
            <w:tcBorders>
              <w:top w:val="single" w:color="000000" w:sz="10" w:space="0"/>
              <w:bottom w:val="nil"/>
            </w:tcBorders>
            <w:vAlign w:val="top"/>
          </w:tcPr>
          <w:p w14:paraId="560CC077">
            <w:pPr>
              <w:kinsoku w:val="0"/>
              <w:autoSpaceDE w:val="0"/>
              <w:autoSpaceDN w:val="0"/>
              <w:adjustRightInd w:val="0"/>
              <w:snapToGrid w:val="0"/>
              <w:spacing w:line="294" w:lineRule="auto"/>
              <w:jc w:val="left"/>
              <w:textAlignment w:val="baseline"/>
              <w:rPr>
                <w:rFonts w:hint="eastAsia" w:ascii="方正仿宋_GB2312" w:hAnsi="方正仿宋_GB2312" w:eastAsia="方正仿宋_GB2312" w:cs="方正仿宋_GB2312"/>
                <w:snapToGrid w:val="0"/>
                <w:color w:val="auto"/>
                <w:kern w:val="0"/>
                <w:sz w:val="21"/>
                <w:szCs w:val="21"/>
                <w:lang w:val="en-US" w:eastAsia="en-US" w:bidi="ar-SA"/>
              </w:rPr>
            </w:pPr>
          </w:p>
          <w:p w14:paraId="6E07C7B4">
            <w:pPr>
              <w:widowControl/>
              <w:kinsoku w:val="0"/>
              <w:autoSpaceDE w:val="0"/>
              <w:autoSpaceDN w:val="0"/>
              <w:spacing w:before="65" w:line="229" w:lineRule="auto"/>
              <w:ind w:firstLine="0" w:firstLineChars="0"/>
              <w:jc w:val="left"/>
              <w:textAlignment w:val="baseline"/>
              <w:rPr>
                <w:rFonts w:hint="eastAsia" w:ascii="方正仿宋_GB2312" w:hAnsi="方正仿宋_GB2312" w:eastAsia="方正仿宋_GB2312" w:cs="方正仿宋_GB2312"/>
                <w:snapToGrid w:val="0"/>
                <w:color w:val="auto"/>
                <w:spacing w:val="0"/>
                <w:kern w:val="0"/>
                <w:sz w:val="20"/>
                <w:szCs w:val="20"/>
                <w:lang w:eastAsia="en-US"/>
              </w:rPr>
            </w:pPr>
            <w:r>
              <w:rPr>
                <w:rFonts w:hint="eastAsia" w:ascii="方正仿宋_GB2312" w:hAnsi="方正仿宋_GB2312" w:eastAsia="方正仿宋_GB2312" w:cs="方正仿宋_GB2312"/>
                <w:b/>
                <w:bCs/>
                <w:snapToGrid w:val="0"/>
                <w:color w:val="auto"/>
                <w:spacing w:val="5"/>
                <w:kern w:val="0"/>
                <w:sz w:val="28"/>
                <w:szCs w:val="28"/>
                <w:lang w:eastAsia="zh-CN"/>
              </w:rPr>
              <w:t>　　</w:t>
            </w:r>
            <w:r>
              <w:rPr>
                <w:rFonts w:hint="eastAsia" w:ascii="方正仿宋_GB2312" w:hAnsi="方正仿宋_GB2312" w:eastAsia="方正仿宋_GB2312" w:cs="方正仿宋_GB2312"/>
                <w:b/>
                <w:bCs/>
                <w:snapToGrid w:val="0"/>
                <w:color w:val="auto"/>
                <w:spacing w:val="5"/>
                <w:kern w:val="0"/>
                <w:sz w:val="28"/>
                <w:szCs w:val="28"/>
                <w:lang w:val="en-US" w:eastAsia="zh-CN"/>
              </w:rPr>
              <w:t xml:space="preserve">      </w:t>
            </w:r>
            <w:r>
              <w:rPr>
                <w:rFonts w:hint="eastAsia" w:ascii="方正仿宋_GB2312" w:hAnsi="方正仿宋_GB2312" w:eastAsia="方正仿宋_GB2312" w:cs="方正仿宋_GB2312"/>
                <w:b/>
                <w:bCs/>
                <w:snapToGrid w:val="0"/>
                <w:color w:val="auto"/>
                <w:spacing w:val="5"/>
                <w:kern w:val="0"/>
                <w:sz w:val="28"/>
                <w:szCs w:val="28"/>
                <w:lang w:eastAsia="en-US"/>
              </w:rPr>
              <w:t>指标名称</w:t>
            </w:r>
          </w:p>
        </w:tc>
        <w:tc>
          <w:tcPr>
            <w:tcW w:w="1570" w:type="pct"/>
            <w:tcBorders>
              <w:top w:val="single" w:color="000000" w:sz="10" w:space="0"/>
              <w:right w:val="single" w:color="000000" w:sz="10" w:space="0"/>
            </w:tcBorders>
            <w:vAlign w:val="top"/>
          </w:tcPr>
          <w:p w14:paraId="4D5EDB1E">
            <w:pPr>
              <w:widowControl/>
              <w:kinsoku w:val="0"/>
              <w:autoSpaceDE w:val="0"/>
              <w:autoSpaceDN w:val="0"/>
              <w:spacing w:before="88" w:line="224" w:lineRule="auto"/>
              <w:ind w:firstLine="286" w:firstLineChars="100"/>
              <w:jc w:val="both"/>
              <w:textAlignment w:val="baseline"/>
              <w:rPr>
                <w:rFonts w:hint="eastAsia" w:ascii="方正仿宋_GB2312" w:hAnsi="方正仿宋_GB2312" w:eastAsia="方正仿宋_GB2312" w:cs="方正仿宋_GB2312"/>
                <w:b/>
                <w:bCs/>
                <w:snapToGrid w:val="0"/>
                <w:color w:val="auto"/>
                <w:spacing w:val="5"/>
                <w:kern w:val="0"/>
                <w:sz w:val="28"/>
                <w:szCs w:val="28"/>
                <w:lang w:val="en-US" w:eastAsia="zh-CN"/>
              </w:rPr>
            </w:pPr>
            <w:r>
              <w:rPr>
                <w:rFonts w:hint="eastAsia" w:ascii="方正仿宋_GB2312" w:hAnsi="方正仿宋_GB2312" w:eastAsia="方正仿宋_GB2312" w:cs="方正仿宋_GB2312"/>
                <w:b/>
                <w:bCs/>
                <w:snapToGrid w:val="0"/>
                <w:color w:val="auto"/>
                <w:spacing w:val="5"/>
                <w:kern w:val="0"/>
                <w:sz w:val="28"/>
                <w:szCs w:val="28"/>
                <w:lang w:val="en-US" w:eastAsia="zh-CN"/>
              </w:rPr>
              <w:t>“十四五”期间</w:t>
            </w:r>
          </w:p>
          <w:p w14:paraId="0B6D8E73">
            <w:pPr>
              <w:widowControl/>
              <w:kinsoku w:val="0"/>
              <w:autoSpaceDE w:val="0"/>
              <w:autoSpaceDN w:val="0"/>
              <w:spacing w:before="88" w:line="224" w:lineRule="auto"/>
              <w:ind w:firstLine="858" w:firstLineChars="300"/>
              <w:jc w:val="both"/>
              <w:textAlignment w:val="baseline"/>
              <w:rPr>
                <w:rFonts w:hint="eastAsia" w:ascii="方正仿宋_GB2312" w:hAnsi="方正仿宋_GB2312" w:eastAsia="方正仿宋_GB2312" w:cs="方正仿宋_GB2312"/>
                <w:b/>
                <w:bCs/>
                <w:snapToGrid w:val="0"/>
                <w:color w:val="auto"/>
                <w:spacing w:val="0"/>
                <w:kern w:val="0"/>
                <w:sz w:val="24"/>
                <w:szCs w:val="24"/>
                <w:lang w:val="en-US" w:eastAsia="zh-CN"/>
              </w:rPr>
            </w:pPr>
            <w:r>
              <w:rPr>
                <w:rFonts w:hint="eastAsia" w:ascii="方正仿宋_GB2312" w:hAnsi="方正仿宋_GB2312" w:eastAsia="方正仿宋_GB2312" w:cs="方正仿宋_GB2312"/>
                <w:b/>
                <w:bCs/>
                <w:snapToGrid w:val="0"/>
                <w:color w:val="auto"/>
                <w:spacing w:val="5"/>
                <w:kern w:val="0"/>
                <w:sz w:val="28"/>
                <w:szCs w:val="28"/>
                <w:lang w:eastAsia="en-US"/>
              </w:rPr>
              <w:t>实际数</w:t>
            </w:r>
            <w:r>
              <w:rPr>
                <w:rFonts w:hint="eastAsia" w:ascii="方正仿宋_GB2312" w:hAnsi="方正仿宋_GB2312" w:eastAsia="方正仿宋_GB2312" w:cs="方正仿宋_GB2312"/>
                <w:b/>
                <w:bCs/>
                <w:snapToGrid w:val="0"/>
                <w:color w:val="auto"/>
                <w:spacing w:val="5"/>
                <w:kern w:val="0"/>
                <w:sz w:val="28"/>
                <w:szCs w:val="28"/>
                <w:lang w:val="en-US" w:eastAsia="zh-CN"/>
              </w:rPr>
              <w:t>值</w:t>
            </w:r>
          </w:p>
        </w:tc>
      </w:tr>
      <w:tr w14:paraId="55520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313" w:type="pct"/>
            <w:vMerge w:val="restart"/>
            <w:tcBorders>
              <w:left w:val="single" w:color="000000" w:sz="10" w:space="0"/>
            </w:tcBorders>
            <w:vAlign w:val="top"/>
          </w:tcPr>
          <w:p w14:paraId="2C6E1B78">
            <w:pPr>
              <w:widowControl/>
              <w:kinsoku w:val="0"/>
              <w:autoSpaceDE w:val="0"/>
              <w:autoSpaceDN w:val="0"/>
              <w:spacing w:before="87" w:line="232" w:lineRule="auto"/>
              <w:ind w:firstLine="0" w:firstLineChars="0"/>
              <w:jc w:val="center"/>
              <w:textAlignment w:val="baseline"/>
              <w:rPr>
                <w:rFonts w:hint="eastAsia" w:ascii="仿宋" w:hAnsi="仿宋" w:eastAsia="仿宋" w:cs="仿宋"/>
                <w:snapToGrid w:val="0"/>
                <w:color w:val="auto"/>
                <w:spacing w:val="0"/>
                <w:kern w:val="0"/>
                <w:sz w:val="24"/>
                <w:szCs w:val="24"/>
                <w:lang w:val="en-US" w:eastAsia="zh-CN"/>
              </w:rPr>
            </w:pPr>
          </w:p>
          <w:p w14:paraId="28CA9CEF">
            <w:pPr>
              <w:widowControl/>
              <w:kinsoku w:val="0"/>
              <w:autoSpaceDE w:val="0"/>
              <w:autoSpaceDN w:val="0"/>
              <w:spacing w:before="87" w:line="232" w:lineRule="auto"/>
              <w:ind w:firstLine="0" w:firstLineChars="0"/>
              <w:jc w:val="center"/>
              <w:textAlignment w:val="baseline"/>
              <w:rPr>
                <w:rFonts w:hint="eastAsia" w:ascii="仿宋" w:hAnsi="仿宋" w:eastAsia="仿宋" w:cs="仿宋"/>
                <w:snapToGrid w:val="0"/>
                <w:color w:val="auto"/>
                <w:spacing w:val="0"/>
                <w:kern w:val="0"/>
                <w:sz w:val="24"/>
                <w:szCs w:val="24"/>
                <w:lang w:val="en-US" w:eastAsia="zh-CN"/>
              </w:rPr>
            </w:pPr>
            <w:r>
              <w:rPr>
                <w:rFonts w:hint="eastAsia" w:ascii="仿宋" w:hAnsi="仿宋" w:eastAsia="仿宋" w:cs="仿宋"/>
                <w:snapToGrid w:val="0"/>
                <w:color w:val="auto"/>
                <w:spacing w:val="0"/>
                <w:kern w:val="0"/>
                <w:sz w:val="24"/>
                <w:szCs w:val="24"/>
                <w:lang w:val="en-US" w:eastAsia="zh-CN"/>
              </w:rPr>
              <w:t>安</w:t>
            </w:r>
          </w:p>
          <w:p w14:paraId="512648AD">
            <w:pPr>
              <w:widowControl/>
              <w:kinsoku w:val="0"/>
              <w:autoSpaceDE w:val="0"/>
              <w:autoSpaceDN w:val="0"/>
              <w:spacing w:before="87" w:line="232" w:lineRule="auto"/>
              <w:ind w:firstLine="0" w:firstLineChars="0"/>
              <w:jc w:val="center"/>
              <w:textAlignment w:val="baseline"/>
              <w:rPr>
                <w:rFonts w:hint="eastAsia" w:ascii="仿宋" w:hAnsi="仿宋" w:eastAsia="仿宋" w:cs="仿宋"/>
                <w:snapToGrid w:val="0"/>
                <w:color w:val="auto"/>
                <w:spacing w:val="0"/>
                <w:kern w:val="0"/>
                <w:sz w:val="24"/>
                <w:szCs w:val="24"/>
                <w:lang w:val="en-US" w:eastAsia="zh-CN"/>
              </w:rPr>
            </w:pPr>
            <w:r>
              <w:rPr>
                <w:rFonts w:hint="eastAsia" w:ascii="仿宋" w:hAnsi="仿宋" w:eastAsia="仿宋" w:cs="仿宋"/>
                <w:snapToGrid w:val="0"/>
                <w:color w:val="auto"/>
                <w:spacing w:val="0"/>
                <w:kern w:val="0"/>
                <w:sz w:val="24"/>
                <w:szCs w:val="24"/>
                <w:lang w:val="en-US" w:eastAsia="zh-CN"/>
              </w:rPr>
              <w:t>全</w:t>
            </w:r>
          </w:p>
          <w:p w14:paraId="58422765">
            <w:pPr>
              <w:widowControl/>
              <w:kinsoku w:val="0"/>
              <w:autoSpaceDE w:val="0"/>
              <w:autoSpaceDN w:val="0"/>
              <w:spacing w:before="87" w:line="232" w:lineRule="auto"/>
              <w:ind w:firstLine="0" w:firstLineChars="0"/>
              <w:jc w:val="center"/>
              <w:textAlignment w:val="baseline"/>
              <w:rPr>
                <w:rFonts w:hint="eastAsia" w:ascii="仿宋" w:hAnsi="仿宋" w:eastAsia="仿宋" w:cs="仿宋"/>
                <w:snapToGrid w:val="0"/>
                <w:color w:val="auto"/>
                <w:spacing w:val="0"/>
                <w:kern w:val="0"/>
                <w:sz w:val="24"/>
                <w:szCs w:val="24"/>
                <w:lang w:val="en-US" w:eastAsia="zh-CN"/>
              </w:rPr>
            </w:pPr>
            <w:r>
              <w:rPr>
                <w:rFonts w:hint="eastAsia" w:ascii="仿宋" w:hAnsi="仿宋" w:eastAsia="仿宋" w:cs="仿宋"/>
                <w:snapToGrid w:val="0"/>
                <w:color w:val="auto"/>
                <w:spacing w:val="0"/>
                <w:kern w:val="0"/>
                <w:sz w:val="24"/>
                <w:szCs w:val="24"/>
                <w:lang w:val="en-US" w:eastAsia="zh-CN"/>
              </w:rPr>
              <w:t>生</w:t>
            </w:r>
          </w:p>
          <w:p w14:paraId="6786F882">
            <w:pPr>
              <w:widowControl/>
              <w:kinsoku w:val="0"/>
              <w:autoSpaceDE w:val="0"/>
              <w:autoSpaceDN w:val="0"/>
              <w:spacing w:before="87" w:line="232" w:lineRule="auto"/>
              <w:ind w:firstLine="0" w:firstLineChars="0"/>
              <w:jc w:val="center"/>
              <w:textAlignment w:val="baseline"/>
              <w:rPr>
                <w:rFonts w:hint="eastAsia" w:ascii="仿宋" w:hAnsi="仿宋" w:eastAsia="仿宋" w:cs="仿宋"/>
                <w:snapToGrid w:val="0"/>
                <w:color w:val="auto"/>
                <w:spacing w:val="0"/>
                <w:kern w:val="0"/>
                <w:sz w:val="24"/>
                <w:szCs w:val="24"/>
                <w:lang w:val="en-US" w:eastAsia="zh-CN"/>
              </w:rPr>
            </w:pPr>
            <w:r>
              <w:rPr>
                <w:rFonts w:hint="eastAsia" w:ascii="仿宋" w:hAnsi="仿宋" w:eastAsia="仿宋" w:cs="仿宋"/>
                <w:snapToGrid w:val="0"/>
                <w:color w:val="auto"/>
                <w:spacing w:val="0"/>
                <w:kern w:val="0"/>
                <w:sz w:val="24"/>
                <w:szCs w:val="24"/>
                <w:lang w:val="en-US" w:eastAsia="zh-CN"/>
              </w:rPr>
              <w:t>产</w:t>
            </w:r>
          </w:p>
        </w:tc>
        <w:tc>
          <w:tcPr>
            <w:tcW w:w="313" w:type="pct"/>
            <w:vAlign w:val="center"/>
          </w:tcPr>
          <w:p w14:paraId="7413B1BE">
            <w:pPr>
              <w:widowControl/>
              <w:kinsoku w:val="0"/>
              <w:autoSpaceDE w:val="0"/>
              <w:autoSpaceDN w:val="0"/>
              <w:snapToGrid w:val="0"/>
              <w:spacing w:before="84" w:line="240" w:lineRule="auto"/>
              <w:ind w:left="0" w:leftChars="0" w:right="0" w:rightChars="0" w:firstLine="0" w:firstLineChars="0"/>
              <w:jc w:val="center"/>
              <w:textAlignment w:val="baseline"/>
              <w:rPr>
                <w:rFonts w:hint="default" w:ascii="Times New Roman" w:hAnsi="Times New Roman" w:eastAsia="仿宋" w:cs="Times New Roman"/>
                <w:snapToGrid w:val="0"/>
                <w:color w:val="auto"/>
                <w:spacing w:val="-3"/>
                <w:kern w:val="0"/>
                <w:sz w:val="24"/>
                <w:szCs w:val="24"/>
                <w:lang w:eastAsia="en-US"/>
              </w:rPr>
            </w:pPr>
            <w:r>
              <w:rPr>
                <w:rFonts w:hint="default" w:ascii="Times New Roman" w:hAnsi="Times New Roman" w:eastAsia="仿宋" w:cs="Times New Roman"/>
                <w:snapToGrid w:val="0"/>
                <w:color w:val="auto"/>
                <w:spacing w:val="-3"/>
                <w:kern w:val="0"/>
                <w:sz w:val="24"/>
                <w:szCs w:val="24"/>
                <w:lang w:eastAsia="en-US"/>
              </w:rPr>
              <w:t>1</w:t>
            </w:r>
          </w:p>
        </w:tc>
        <w:tc>
          <w:tcPr>
            <w:tcW w:w="2801" w:type="pct"/>
            <w:vAlign w:val="center"/>
          </w:tcPr>
          <w:p w14:paraId="1BEEF8A8">
            <w:pPr>
              <w:snapToGrid w:val="0"/>
              <w:spacing w:before="84" w:line="240" w:lineRule="auto"/>
              <w:ind w:left="0" w:leftChars="0" w:right="0" w:rightChars="0" w:firstLine="0" w:firstLineChars="0"/>
              <w:jc w:val="left"/>
              <w:rPr>
                <w:rFonts w:hint="eastAsia" w:ascii="仿宋" w:hAnsi="仿宋" w:eastAsia="仿宋" w:cs="仿宋"/>
                <w:snapToGrid w:val="0"/>
                <w:color w:val="auto"/>
                <w:spacing w:val="-3"/>
                <w:kern w:val="0"/>
                <w:sz w:val="24"/>
                <w:szCs w:val="24"/>
                <w:lang w:eastAsia="en-US"/>
              </w:rPr>
            </w:pPr>
            <w:r>
              <w:rPr>
                <w:rFonts w:hint="eastAsia" w:ascii="仿宋" w:hAnsi="仿宋" w:eastAsia="仿宋" w:cs="仿宋"/>
                <w:color w:val="auto"/>
                <w:spacing w:val="-3"/>
                <w:sz w:val="24"/>
                <w:szCs w:val="24"/>
                <w:lang w:val="en-US" w:eastAsia="zh-CN"/>
              </w:rPr>
              <w:t>生产安全事故死亡人数</w:t>
            </w:r>
          </w:p>
        </w:tc>
        <w:tc>
          <w:tcPr>
            <w:tcW w:w="1570" w:type="pct"/>
            <w:tcBorders>
              <w:right w:val="single" w:color="000000" w:sz="10" w:space="0"/>
            </w:tcBorders>
            <w:shd w:val="clear" w:color="auto" w:fill="auto"/>
            <w:vAlign w:val="center"/>
          </w:tcPr>
          <w:p w14:paraId="5EBF5D29">
            <w:pPr>
              <w:snapToGrid w:val="0"/>
              <w:spacing w:before="57" w:line="240" w:lineRule="auto"/>
              <w:ind w:left="0" w:leftChars="0" w:right="0" w:rightChars="0" w:firstLine="0" w:firstLineChars="0"/>
              <w:jc w:val="center"/>
              <w:rPr>
                <w:rFonts w:hint="eastAsia" w:ascii="仿宋" w:hAnsi="仿宋" w:eastAsia="仿宋" w:cs="仿宋"/>
                <w:snapToGrid w:val="0"/>
                <w:color w:val="auto"/>
                <w:spacing w:val="0"/>
                <w:kern w:val="2"/>
                <w:sz w:val="24"/>
                <w:szCs w:val="24"/>
                <w:lang w:val="en-US" w:eastAsia="zh-CN" w:bidi="ar-SA"/>
              </w:rPr>
            </w:pPr>
            <w:r>
              <w:rPr>
                <w:rFonts w:hint="eastAsia" w:ascii="Times New Roman" w:hAnsi="Times New Roman" w:eastAsia="方正仿宋_GB2312" w:cs="Times New Roman"/>
                <w:snapToGrid w:val="0"/>
                <w:color w:val="auto"/>
                <w:spacing w:val="13"/>
                <w:kern w:val="0"/>
                <w:sz w:val="24"/>
                <w:szCs w:val="24"/>
                <w:lang w:val="en-US" w:eastAsia="zh-CN"/>
              </w:rPr>
              <w:t>41</w:t>
            </w:r>
            <w:r>
              <w:rPr>
                <w:rFonts w:hint="eastAsia" w:ascii="仿宋" w:hAnsi="Times New Roman" w:eastAsia="仿宋" w:cs="Times New Roman"/>
                <w:color w:val="auto"/>
                <w:sz w:val="24"/>
                <w:szCs w:val="24"/>
                <w:lang w:val="en-US" w:eastAsia="zh-CN"/>
              </w:rPr>
              <w:t>人</w:t>
            </w:r>
          </w:p>
        </w:tc>
      </w:tr>
      <w:tr w14:paraId="45BED6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313" w:type="pct"/>
            <w:vMerge w:val="continue"/>
            <w:tcBorders>
              <w:left w:val="single" w:color="000000" w:sz="10" w:space="0"/>
            </w:tcBorders>
            <w:vAlign w:val="top"/>
          </w:tcPr>
          <w:p w14:paraId="40A65D53">
            <w:pPr>
              <w:widowControl/>
              <w:kinsoku w:val="0"/>
              <w:autoSpaceDE w:val="0"/>
              <w:autoSpaceDN w:val="0"/>
              <w:spacing w:before="87" w:line="232" w:lineRule="auto"/>
              <w:ind w:firstLine="0" w:firstLineChars="0"/>
              <w:jc w:val="center"/>
              <w:textAlignment w:val="baseline"/>
              <w:rPr>
                <w:rFonts w:hint="eastAsia" w:ascii="仿宋" w:hAnsi="仿宋" w:eastAsia="仿宋" w:cs="仿宋"/>
                <w:snapToGrid w:val="0"/>
                <w:color w:val="auto"/>
                <w:spacing w:val="0"/>
                <w:kern w:val="0"/>
                <w:sz w:val="24"/>
                <w:szCs w:val="24"/>
                <w:lang w:val="en-US" w:eastAsia="zh-CN"/>
              </w:rPr>
            </w:pPr>
          </w:p>
        </w:tc>
        <w:tc>
          <w:tcPr>
            <w:tcW w:w="313" w:type="pct"/>
            <w:vAlign w:val="center"/>
          </w:tcPr>
          <w:p w14:paraId="15B729A6">
            <w:pPr>
              <w:widowControl/>
              <w:kinsoku w:val="0"/>
              <w:autoSpaceDE w:val="0"/>
              <w:autoSpaceDN w:val="0"/>
              <w:snapToGrid w:val="0"/>
              <w:spacing w:before="84" w:line="240" w:lineRule="auto"/>
              <w:ind w:left="0" w:leftChars="0" w:right="0" w:rightChars="0" w:firstLine="0" w:firstLineChars="0"/>
              <w:jc w:val="center"/>
              <w:textAlignment w:val="baseline"/>
              <w:rPr>
                <w:rFonts w:hint="eastAsia" w:ascii="Times New Roman" w:hAnsi="Times New Roman" w:eastAsia="仿宋" w:cs="Times New Roman"/>
                <w:snapToGrid w:val="0"/>
                <w:color w:val="auto"/>
                <w:spacing w:val="-3"/>
                <w:kern w:val="0"/>
                <w:sz w:val="24"/>
                <w:szCs w:val="24"/>
                <w:lang w:val="en-US" w:eastAsia="zh-CN"/>
              </w:rPr>
            </w:pPr>
            <w:r>
              <w:rPr>
                <w:rFonts w:hint="eastAsia" w:ascii="Times New Roman" w:hAnsi="Times New Roman" w:cs="Times New Roman"/>
                <w:snapToGrid w:val="0"/>
                <w:color w:val="auto"/>
                <w:spacing w:val="-3"/>
                <w:kern w:val="0"/>
                <w:sz w:val="24"/>
                <w:szCs w:val="24"/>
                <w:lang w:val="en-US" w:eastAsia="zh-CN"/>
              </w:rPr>
              <w:t>2</w:t>
            </w:r>
          </w:p>
        </w:tc>
        <w:tc>
          <w:tcPr>
            <w:tcW w:w="2801" w:type="pct"/>
            <w:shd w:val="clear" w:color="auto" w:fill="auto"/>
            <w:vAlign w:val="center"/>
          </w:tcPr>
          <w:p w14:paraId="76219F20">
            <w:pPr>
              <w:snapToGrid w:val="0"/>
              <w:spacing w:before="74" w:line="240" w:lineRule="auto"/>
              <w:ind w:left="0" w:leftChars="0" w:right="0" w:rightChars="0" w:firstLine="0" w:firstLineChars="0"/>
              <w:jc w:val="left"/>
              <w:rPr>
                <w:rFonts w:hint="eastAsia" w:ascii="仿宋" w:hAnsi="仿宋" w:eastAsia="仿宋" w:cs="仿宋"/>
                <w:color w:val="auto"/>
                <w:spacing w:val="-3"/>
                <w:kern w:val="2"/>
                <w:sz w:val="24"/>
                <w:szCs w:val="24"/>
                <w:lang w:val="en-US" w:eastAsia="zh-CN" w:bidi="ar-SA"/>
              </w:rPr>
            </w:pPr>
            <w:r>
              <w:rPr>
                <w:rFonts w:hint="eastAsia" w:cs="仿宋"/>
                <w:color w:val="auto"/>
                <w:spacing w:val="-3"/>
                <w:sz w:val="24"/>
                <w:szCs w:val="24"/>
                <w:lang w:val="en-US" w:eastAsia="zh-CN"/>
              </w:rPr>
              <w:t>一般生产安全事故起数</w:t>
            </w:r>
          </w:p>
        </w:tc>
        <w:tc>
          <w:tcPr>
            <w:tcW w:w="1570" w:type="pct"/>
            <w:tcBorders>
              <w:right w:val="single" w:color="000000" w:sz="10" w:space="0"/>
            </w:tcBorders>
            <w:shd w:val="clear" w:color="auto" w:fill="auto"/>
            <w:vAlign w:val="center"/>
          </w:tcPr>
          <w:p w14:paraId="22499BFC">
            <w:pPr>
              <w:snapToGrid w:val="0"/>
              <w:spacing w:before="57" w:line="240" w:lineRule="auto"/>
              <w:ind w:left="0" w:leftChars="0" w:right="0" w:rightChars="0" w:firstLine="0" w:firstLineChars="0"/>
              <w:jc w:val="center"/>
              <w:rPr>
                <w:rFonts w:hint="eastAsia" w:ascii="Times New Roman" w:hAnsi="Times New Roman" w:eastAsia="方正仿宋_GB2312" w:cs="Times New Roman"/>
                <w:snapToGrid w:val="0"/>
                <w:color w:val="auto"/>
                <w:spacing w:val="13"/>
                <w:kern w:val="0"/>
                <w:sz w:val="24"/>
                <w:szCs w:val="24"/>
                <w:lang w:val="en-US" w:eastAsia="zh-CN" w:bidi="ar-SA"/>
              </w:rPr>
            </w:pPr>
            <w:r>
              <w:rPr>
                <w:rFonts w:hint="eastAsia" w:ascii="Times New Roman" w:hAnsi="Times New Roman" w:eastAsia="方正仿宋_GB2312" w:cs="Times New Roman"/>
                <w:snapToGrid w:val="0"/>
                <w:color w:val="auto"/>
                <w:spacing w:val="13"/>
                <w:kern w:val="0"/>
                <w:sz w:val="24"/>
                <w:szCs w:val="24"/>
                <w:lang w:val="en-US" w:eastAsia="zh-CN"/>
              </w:rPr>
              <w:t>67起</w:t>
            </w:r>
          </w:p>
        </w:tc>
      </w:tr>
      <w:tr w14:paraId="654CC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313" w:type="pct"/>
            <w:vMerge w:val="continue"/>
            <w:tcBorders>
              <w:left w:val="single" w:color="000000" w:sz="10" w:space="0"/>
            </w:tcBorders>
            <w:vAlign w:val="top"/>
          </w:tcPr>
          <w:p w14:paraId="19C57BD2">
            <w:pPr>
              <w:kinsoku w:val="0"/>
              <w:autoSpaceDE w:val="0"/>
              <w:autoSpaceDN w:val="0"/>
              <w:adjustRightInd w:val="0"/>
              <w:snapToGrid w:val="0"/>
              <w:spacing w:line="240" w:lineRule="auto"/>
              <w:jc w:val="center"/>
              <w:textAlignment w:val="baseline"/>
              <w:rPr>
                <w:rFonts w:hint="eastAsia" w:ascii="仿宋" w:hAnsi="仿宋" w:eastAsia="仿宋" w:cs="仿宋"/>
                <w:snapToGrid w:val="0"/>
                <w:color w:val="auto"/>
                <w:kern w:val="0"/>
                <w:sz w:val="24"/>
                <w:szCs w:val="24"/>
                <w:lang w:val="en-US" w:eastAsia="en-US" w:bidi="ar-SA"/>
              </w:rPr>
            </w:pPr>
          </w:p>
        </w:tc>
        <w:tc>
          <w:tcPr>
            <w:tcW w:w="313" w:type="pct"/>
            <w:vAlign w:val="center"/>
          </w:tcPr>
          <w:p w14:paraId="556AD6AE">
            <w:pPr>
              <w:widowControl/>
              <w:kinsoku w:val="0"/>
              <w:autoSpaceDE w:val="0"/>
              <w:autoSpaceDN w:val="0"/>
              <w:snapToGrid w:val="0"/>
              <w:spacing w:before="84" w:line="240" w:lineRule="auto"/>
              <w:ind w:left="0" w:leftChars="0" w:right="0" w:rightChars="0" w:firstLine="230" w:firstLineChars="100"/>
              <w:jc w:val="both"/>
              <w:textAlignment w:val="baseline"/>
              <w:rPr>
                <w:rFonts w:hint="eastAsia" w:ascii="Times New Roman" w:hAnsi="Times New Roman" w:cs="Times New Roman"/>
                <w:snapToGrid w:val="0"/>
                <w:color w:val="auto"/>
                <w:spacing w:val="-3"/>
                <w:kern w:val="0"/>
                <w:sz w:val="24"/>
                <w:szCs w:val="24"/>
                <w:lang w:val="en-US" w:eastAsia="zh-CN"/>
              </w:rPr>
            </w:pPr>
            <w:r>
              <w:rPr>
                <w:rFonts w:hint="eastAsia" w:ascii="Times New Roman" w:hAnsi="Times New Roman" w:cs="Times New Roman"/>
                <w:snapToGrid w:val="0"/>
                <w:color w:val="auto"/>
                <w:spacing w:val="-3"/>
                <w:kern w:val="0"/>
                <w:sz w:val="24"/>
                <w:szCs w:val="24"/>
                <w:lang w:val="en-US" w:eastAsia="zh-CN"/>
              </w:rPr>
              <w:t>3</w:t>
            </w:r>
          </w:p>
        </w:tc>
        <w:tc>
          <w:tcPr>
            <w:tcW w:w="2801" w:type="pct"/>
            <w:vAlign w:val="center"/>
          </w:tcPr>
          <w:p w14:paraId="18F1263F">
            <w:pPr>
              <w:widowControl/>
              <w:kinsoku w:val="0"/>
              <w:autoSpaceDE w:val="0"/>
              <w:autoSpaceDN w:val="0"/>
              <w:snapToGrid w:val="0"/>
              <w:spacing w:before="84" w:line="240" w:lineRule="auto"/>
              <w:ind w:left="0" w:leftChars="0" w:right="0" w:rightChars="0" w:firstLine="0" w:firstLineChars="0"/>
              <w:jc w:val="both"/>
              <w:textAlignment w:val="baseline"/>
              <w:rPr>
                <w:rFonts w:hint="eastAsia" w:ascii="Times New Roman" w:hAnsi="Times New Roman" w:cs="Times New Roman"/>
                <w:snapToGrid w:val="0"/>
                <w:color w:val="auto"/>
                <w:spacing w:val="-3"/>
                <w:kern w:val="0"/>
                <w:sz w:val="24"/>
                <w:szCs w:val="24"/>
                <w:lang w:val="en-US" w:eastAsia="en-US"/>
              </w:rPr>
            </w:pPr>
            <w:r>
              <w:rPr>
                <w:rFonts w:hint="eastAsia" w:ascii="Times New Roman" w:hAnsi="Times New Roman" w:cs="Times New Roman"/>
                <w:snapToGrid w:val="0"/>
                <w:color w:val="auto"/>
                <w:spacing w:val="-3"/>
                <w:kern w:val="0"/>
                <w:sz w:val="24"/>
                <w:szCs w:val="24"/>
                <w:lang w:val="en-US" w:eastAsia="zh-CN"/>
              </w:rPr>
              <w:t>较大生产安全事故起数</w:t>
            </w:r>
          </w:p>
        </w:tc>
        <w:tc>
          <w:tcPr>
            <w:tcW w:w="1570" w:type="pct"/>
            <w:tcBorders>
              <w:right w:val="single" w:color="000000" w:sz="10" w:space="0"/>
            </w:tcBorders>
            <w:shd w:val="clear" w:color="auto" w:fill="auto"/>
            <w:vAlign w:val="center"/>
          </w:tcPr>
          <w:p w14:paraId="2FAB9B0E">
            <w:pPr>
              <w:snapToGrid w:val="0"/>
              <w:spacing w:before="57" w:line="240" w:lineRule="auto"/>
              <w:ind w:left="0" w:leftChars="0" w:right="0" w:rightChars="0" w:firstLine="0" w:firstLineChars="0"/>
              <w:jc w:val="center"/>
              <w:rPr>
                <w:rFonts w:hint="eastAsia" w:ascii="仿宋" w:hAnsi="仿宋" w:eastAsia="仿宋" w:cs="仿宋"/>
                <w:snapToGrid w:val="0"/>
                <w:color w:val="auto"/>
                <w:spacing w:val="0"/>
                <w:kern w:val="2"/>
                <w:sz w:val="24"/>
                <w:szCs w:val="24"/>
                <w:lang w:val="en-US" w:eastAsia="zh-CN" w:bidi="ar-SA"/>
              </w:rPr>
            </w:pPr>
            <w:r>
              <w:rPr>
                <w:rFonts w:hint="eastAsia" w:ascii="Times New Roman" w:hAnsi="Times New Roman" w:eastAsia="方正仿宋_GB2312" w:cs="Times New Roman"/>
                <w:snapToGrid w:val="0"/>
                <w:color w:val="auto"/>
                <w:spacing w:val="13"/>
                <w:kern w:val="0"/>
                <w:sz w:val="24"/>
                <w:szCs w:val="24"/>
                <w:lang w:val="en-US" w:eastAsia="zh-CN"/>
              </w:rPr>
              <w:t>1</w:t>
            </w:r>
            <w:r>
              <w:rPr>
                <w:rFonts w:hint="eastAsia" w:ascii="仿宋" w:hAnsi="Times New Roman" w:eastAsia="仿宋" w:cs="Times New Roman"/>
                <w:color w:val="auto"/>
                <w:sz w:val="24"/>
                <w:szCs w:val="24"/>
                <w:lang w:val="en-US" w:eastAsia="zh-CN"/>
              </w:rPr>
              <w:t>起</w:t>
            </w:r>
          </w:p>
        </w:tc>
      </w:tr>
    </w:tbl>
    <w:p w14:paraId="6AC5686A">
      <w:pPr>
        <w:widowControl/>
        <w:kinsoku w:val="0"/>
        <w:autoSpaceDE w:val="0"/>
        <w:autoSpaceDN w:val="0"/>
        <w:spacing w:line="240" w:lineRule="auto"/>
        <w:ind w:firstLine="0" w:firstLineChars="0"/>
        <w:jc w:val="left"/>
        <w:textAlignment w:val="baseline"/>
        <w:rPr>
          <w:rFonts w:hint="eastAsia" w:ascii="Arial" w:hAnsi="Arial" w:eastAsia="Arial" w:cs="Arial"/>
          <w:snapToGrid w:val="0"/>
          <w:color w:val="000000"/>
          <w:spacing w:val="0"/>
          <w:kern w:val="0"/>
          <w:sz w:val="21"/>
          <w:szCs w:val="21"/>
          <w:lang w:val="en-US" w:eastAsia="zh-CN"/>
        </w:rPr>
      </w:pPr>
    </w:p>
    <w:p w14:paraId="3A375B4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firstLine="0" w:firstLineChars="0"/>
        <w:jc w:val="left"/>
        <w:textAlignment w:val="baseline"/>
        <w:outlineLvl w:val="2"/>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楷体" w:hAnsi="楷体" w:eastAsia="楷体" w:cs="楷体"/>
          <w:b/>
          <w:bCs/>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一、安全生产体制机制不断完善</w:t>
      </w:r>
    </w:p>
    <w:p w14:paraId="457A5C46">
      <w:pPr>
        <w:keepNext w:val="0"/>
        <w:keepLines w:val="0"/>
        <w:pageBreakBefore w:val="0"/>
        <w:widowControl/>
        <w:kinsoku w:val="0"/>
        <w:wordWrap/>
        <w:overflowPunct/>
        <w:topLinePunct w:val="0"/>
        <w:autoSpaceDE w:val="0"/>
        <w:autoSpaceDN w:val="0"/>
        <w:bidi w:val="0"/>
        <w:adjustRightInd w:val="0"/>
        <w:snapToGrid w:val="0"/>
        <w:spacing w:line="560" w:lineRule="exact"/>
        <w:ind w:firstLine="668" w:firstLineChars="0"/>
        <w:jc w:val="left"/>
        <w:textAlignment w:val="baseline"/>
        <w:outlineLvl w:val="9"/>
        <w:rPr>
          <w:rFonts w:hint="eastAsia" w:ascii="仿宋_GB2312" w:hAnsi="仿宋_GB2312" w:eastAsia="仿宋_GB2312" w:cs="仿宋_GB2312"/>
          <w:b w:val="0"/>
          <w:bCs w:val="0"/>
          <w:snapToGrid w:val="0"/>
          <w:color w:val="000000"/>
          <w:spacing w:val="7"/>
          <w:kern w:val="0"/>
          <w:position w:val="1"/>
          <w:sz w:val="32"/>
          <w:szCs w:val="32"/>
          <w:highlight w:val="none"/>
          <w:lang w:val="en-US" w:eastAsia="zh-CN"/>
        </w:rPr>
      </w:pPr>
      <w:r>
        <w:rPr>
          <w:rFonts w:hint="eastAsia" w:ascii="仿宋_GB2312" w:hAnsi="仿宋_GB2312" w:eastAsia="仿宋_GB2312" w:cs="仿宋_GB2312"/>
          <w:b w:val="0"/>
          <w:bCs w:val="0"/>
          <w:snapToGrid w:val="0"/>
          <w:color w:val="000000"/>
          <w:spacing w:val="7"/>
          <w:kern w:val="0"/>
          <w:position w:val="1"/>
          <w:sz w:val="32"/>
          <w:szCs w:val="32"/>
          <w:highlight w:val="none"/>
          <w:lang w:val="en-US" w:eastAsia="zh-CN"/>
        </w:rPr>
        <w:t>严格落实《墨玉县机构改革方案》，整合优化应急力量与资源，依照“三定”规定规范履行相关职责，设立墨玉县矿山安全服务保障中心。按照和田地区安委办统一部署，完成墨玉县减灾委员会、抗震救灾指挥部与县安全生产委员会办公室合署办公，构建形成“统一领导、综合协调、分类管理、分级负责、属地为主”的应急管理工作体系。建立健全安全生产行政责任追究制度与奖惩激励办法，完善安全生产综合协调、联合执法、事故查处、责任倒查、督查约谈等工作机制，推动安全生产工作实现制度化、规范化、常态化运行，为全县安全生产工作高质量开展提供了坚实制度保障。</w:t>
      </w:r>
    </w:p>
    <w:p w14:paraId="0CB71AB8">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left"/>
        <w:textAlignment w:val="baseline"/>
        <w:outlineLvl w:val="9"/>
        <w:rPr>
          <w:rFonts w:hint="eastAsia" w:ascii="仿宋_GB2312" w:hAnsi="仿宋_GB2312" w:eastAsia="仿宋_GB2312" w:cs="仿宋_GB2312"/>
          <w:b w:val="0"/>
          <w:bCs w:val="0"/>
          <w:snapToGrid w:val="0"/>
          <w:color w:val="000000"/>
          <w:spacing w:val="7"/>
          <w:kern w:val="0"/>
          <w:position w:val="1"/>
          <w:sz w:val="32"/>
          <w:szCs w:val="32"/>
          <w:highlight w:val="none"/>
          <w:lang w:val="en-US" w:eastAsia="zh-CN"/>
        </w:rPr>
      </w:pPr>
    </w:p>
    <w:p w14:paraId="2772C456">
      <w:pPr>
        <w:keepNext w:val="0"/>
        <w:keepLines w:val="0"/>
        <w:pageBreakBefore w:val="0"/>
        <w:widowControl/>
        <w:numPr>
          <w:ilvl w:val="0"/>
          <w:numId w:val="4"/>
        </w:numPr>
        <w:kinsoku w:val="0"/>
        <w:wordWrap/>
        <w:overflowPunct/>
        <w:topLinePunct w:val="0"/>
        <w:autoSpaceDE w:val="0"/>
        <w:autoSpaceDN w:val="0"/>
        <w:bidi w:val="0"/>
        <w:adjustRightInd w:val="0"/>
        <w:snapToGrid w:val="0"/>
        <w:spacing w:line="560" w:lineRule="exact"/>
        <w:ind w:leftChars="0" w:firstLine="682" w:firstLineChars="0"/>
        <w:jc w:val="left"/>
        <w:textAlignment w:val="baseline"/>
        <w:outlineLvl w:val="2"/>
        <w:rPr>
          <w:rFonts w:hint="eastAsia" w:ascii="仿宋_GB2312" w:hAnsi="仿宋_GB2312" w:eastAsia="仿宋_GB2312" w:cs="仿宋_GB2312"/>
          <w:b/>
          <w:bCs/>
          <w:snapToGrid w:val="0"/>
          <w:color w:val="000000"/>
          <w:spacing w:val="10"/>
          <w:kern w:val="0"/>
          <w:sz w:val="32"/>
          <w:szCs w:val="32"/>
          <w:lang w:val="en-US" w:eastAsia="zh-CN"/>
        </w:rPr>
      </w:pPr>
      <w:r>
        <w:rPr>
          <w:rFonts w:hint="eastAsia" w:ascii="仿宋_GB2312" w:hAnsi="仿宋_GB2312" w:eastAsia="仿宋_GB2312" w:cs="仿宋_GB2312"/>
          <w:b/>
          <w:bCs/>
          <w:snapToGrid w:val="0"/>
          <w:color w:val="000000"/>
          <w:spacing w:val="10"/>
          <w:kern w:val="0"/>
          <w:sz w:val="32"/>
          <w:szCs w:val="32"/>
          <w:lang w:val="en-US" w:eastAsia="zh-CN"/>
        </w:rPr>
        <w:t>安全生产形势持续稳定</w:t>
      </w:r>
    </w:p>
    <w:p w14:paraId="0FFB975F">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left"/>
        <w:textAlignment w:val="baseline"/>
        <w:outlineLvl w:val="9"/>
        <w:rPr>
          <w:rFonts w:hint="eastAsia" w:ascii="方正仿宋_GB2312" w:hAnsi="方正仿宋_GB2312" w:eastAsia="方正仿宋_GB2312" w:cs="方正仿宋_GB2312"/>
          <w:snapToGrid w:val="0"/>
          <w:color w:val="auto"/>
          <w:spacing w:val="13"/>
          <w:kern w:val="0"/>
          <w:sz w:val="32"/>
          <w:szCs w:val="32"/>
          <w:highlight w:val="none"/>
          <w:lang w:val="en-US" w:eastAsia="zh-CN"/>
        </w:rPr>
      </w:pPr>
      <w:r>
        <w:rPr>
          <w:rFonts w:hint="eastAsia" w:ascii="仿宋_GB2312" w:hAnsi="仿宋_GB2312" w:eastAsia="仿宋_GB2312" w:cs="仿宋_GB2312"/>
          <w:b w:val="0"/>
          <w:bCs w:val="0"/>
          <w:snapToGrid w:val="0"/>
          <w:color w:val="000000"/>
          <w:spacing w:val="7"/>
          <w:kern w:val="0"/>
          <w:position w:val="1"/>
          <w:sz w:val="32"/>
          <w:szCs w:val="32"/>
          <w:highlight w:val="none"/>
          <w:lang w:val="en-US" w:eastAsia="zh-CN"/>
        </w:rPr>
        <w:t>　　县委、县政府始终将重点领域安全生产专项治理作为安全生产工作的重要抓手，坚持常抓不懈。充分发挥安委会办公室综合协调职能，督促各行业主管部门依法依规履行安全生产监管职责，推动形成齐抓共管的工作格局，保障重点行业领域安全生产平稳运行。在全县范围内深入开展人员密集场所火灾隐患治理、危险化学品企业检维修作业安全管控、非煤矿山典型事故防范、建筑施工高处坠落事故防范、市政基础设施工程有限空间作业安全治理、旅游景区安全设施提升、特种设备安全生产治理、民爆物品运输使用环节安全治理、校园安全设施完善、文化活动场所安全管理规范、电动车全链条整治等一系列专项治理行动。“十四五”期间，全县各项安全生产指标均符合控制要求，安全生产总体形势保持持续稳定向好，为全县经济社会持续健康发展筑牢了安全屏障。</w:t>
      </w:r>
    </w:p>
    <w:p w14:paraId="38A8710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682" w:firstLineChars="0"/>
        <w:jc w:val="left"/>
        <w:textAlignment w:val="baseline"/>
        <w:outlineLvl w:val="2"/>
        <w:rPr>
          <w:rFonts w:hint="eastAsia" w:ascii="仿宋_GB2312" w:hAnsi="仿宋_GB2312" w:eastAsia="仿宋_GB2312" w:cs="仿宋_GB2312"/>
          <w:b/>
          <w:bCs/>
          <w:snapToGrid w:val="0"/>
          <w:color w:val="000000"/>
          <w:spacing w:val="10"/>
          <w:kern w:val="0"/>
          <w:sz w:val="32"/>
          <w:szCs w:val="32"/>
          <w:lang w:val="en-US" w:eastAsia="zh-CN" w:bidi="ar-SA"/>
        </w:rPr>
      </w:pPr>
      <w:r>
        <w:rPr>
          <w:rFonts w:hint="eastAsia" w:ascii="仿宋_GB2312" w:hAnsi="仿宋_GB2312" w:eastAsia="仿宋_GB2312" w:cs="仿宋_GB2312"/>
          <w:b/>
          <w:bCs/>
          <w:snapToGrid w:val="0"/>
          <w:color w:val="000000"/>
          <w:spacing w:val="10"/>
          <w:kern w:val="0"/>
          <w:sz w:val="32"/>
          <w:szCs w:val="32"/>
          <w:lang w:val="en-US" w:eastAsia="zh-CN" w:bidi="ar-SA"/>
        </w:rPr>
        <w:t>三、事故预防和救援体系初步建立</w:t>
      </w:r>
    </w:p>
    <w:p w14:paraId="2AF7C9A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highlight w:val="none"/>
          <w:lang w:val="en-US" w:eastAsia="zh-CN"/>
        </w:rPr>
      </w:pPr>
      <w:r>
        <w:rPr>
          <w:rFonts w:hint="eastAsia" w:ascii="仿宋_GB2312" w:hAnsi="仿宋_GB2312" w:eastAsia="仿宋_GB2312" w:cs="仿宋_GB2312"/>
          <w:b w:val="0"/>
          <w:bCs w:val="0"/>
          <w:snapToGrid w:val="0"/>
          <w:color w:val="auto"/>
          <w:spacing w:val="13"/>
          <w:kern w:val="0"/>
          <w:sz w:val="32"/>
          <w:szCs w:val="32"/>
          <w:highlight w:val="none"/>
          <w:lang w:val="en-US" w:eastAsia="zh-CN"/>
        </w:rPr>
        <w:t>　　应急预案体系基本健全。立足“人民至上、生命至上”理念，全县</w:t>
      </w:r>
      <w:r>
        <w:rPr>
          <w:rFonts w:hint="default" w:ascii="Times New Roman" w:hAnsi="Times New Roman" w:eastAsia="仿宋_GB2312" w:cs="Times New Roman"/>
          <w:b w:val="0"/>
          <w:bCs w:val="0"/>
          <w:snapToGrid w:val="0"/>
          <w:color w:val="auto"/>
          <w:spacing w:val="13"/>
          <w:kern w:val="0"/>
          <w:sz w:val="32"/>
          <w:szCs w:val="32"/>
          <w:highlight w:val="none"/>
          <w:lang w:val="en-US" w:eastAsia="zh-CN"/>
        </w:rPr>
        <w:t>21</w:t>
      </w:r>
      <w:r>
        <w:rPr>
          <w:rFonts w:hint="eastAsia" w:ascii="仿宋_GB2312" w:hAnsi="仿宋_GB2312" w:eastAsia="仿宋_GB2312" w:cs="仿宋_GB2312"/>
          <w:b w:val="0"/>
          <w:bCs w:val="0"/>
          <w:snapToGrid w:val="0"/>
          <w:color w:val="auto"/>
          <w:spacing w:val="13"/>
          <w:kern w:val="0"/>
          <w:sz w:val="32"/>
          <w:szCs w:val="32"/>
          <w:highlight w:val="none"/>
          <w:lang w:val="en-US" w:eastAsia="zh-CN"/>
        </w:rPr>
        <w:t>个成员单位、</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21</w:t>
      </w:r>
      <w:r>
        <w:rPr>
          <w:rFonts w:hint="eastAsia" w:ascii="仿宋_GB2312" w:hAnsi="仿宋_GB2312" w:eastAsia="仿宋_GB2312" w:cs="仿宋_GB2312"/>
          <w:b w:val="0"/>
          <w:bCs w:val="0"/>
          <w:snapToGrid w:val="0"/>
          <w:color w:val="auto"/>
          <w:spacing w:val="13"/>
          <w:kern w:val="0"/>
          <w:sz w:val="32"/>
          <w:szCs w:val="32"/>
          <w:highlight w:val="none"/>
          <w:lang w:val="en-US" w:eastAsia="zh-CN"/>
        </w:rPr>
        <w:t>个乡镇</w:t>
      </w:r>
      <w:r>
        <w:rPr>
          <w:rFonts w:hint="eastAsia" w:ascii="仿宋_GB2312" w:hAnsi="仿宋_GB2312" w:eastAsia="仿宋_GB2312" w:cs="仿宋_GB2312"/>
          <w:b w:val="0"/>
          <w:bCs w:val="0"/>
          <w:snapToGrid w:val="0"/>
          <w:color w:val="auto"/>
          <w:spacing w:val="13"/>
          <w:kern w:val="0"/>
          <w:sz w:val="32"/>
          <w:szCs w:val="32"/>
          <w:lang w:val="en-US" w:eastAsia="zh-CN"/>
        </w:rPr>
        <w:t>（街办、园区）</w:t>
      </w:r>
      <w:r>
        <w:rPr>
          <w:rFonts w:hint="eastAsia" w:ascii="仿宋_GB2312" w:hAnsi="仿宋_GB2312" w:eastAsia="仿宋_GB2312" w:cs="仿宋_GB2312"/>
          <w:b w:val="0"/>
          <w:bCs w:val="0"/>
          <w:snapToGrid w:val="0"/>
          <w:color w:val="auto"/>
          <w:spacing w:val="13"/>
          <w:kern w:val="0"/>
          <w:sz w:val="32"/>
          <w:szCs w:val="32"/>
          <w:highlight w:val="none"/>
          <w:lang w:val="en-US" w:eastAsia="zh-CN"/>
        </w:rPr>
        <w:t>、</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426</w:t>
      </w:r>
      <w:r>
        <w:rPr>
          <w:rFonts w:hint="eastAsia" w:ascii="仿宋_GB2312" w:hAnsi="仿宋_GB2312" w:eastAsia="仿宋_GB2312" w:cs="仿宋_GB2312"/>
          <w:b w:val="0"/>
          <w:bCs w:val="0"/>
          <w:snapToGrid w:val="0"/>
          <w:color w:val="auto"/>
          <w:spacing w:val="13"/>
          <w:kern w:val="0"/>
          <w:sz w:val="32"/>
          <w:szCs w:val="32"/>
          <w:highlight w:val="none"/>
          <w:lang w:val="en-US" w:eastAsia="zh-CN"/>
        </w:rPr>
        <w:t>个行政村（社区）结合区域实际、行业特点初步完成应急预案修订工作，构建起横向到边、纵向到底、上下衔接、相互支撑的应急预案体系，全域自然灾害和生产安全事故防御应对能力得到切实提升。</w:t>
      </w:r>
    </w:p>
    <w:p w14:paraId="177838A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highlight w:val="none"/>
          <w:lang w:val="en-US" w:eastAsia="zh-CN"/>
        </w:rPr>
      </w:pPr>
      <w:r>
        <w:rPr>
          <w:rFonts w:hint="eastAsia" w:ascii="仿宋_GB2312" w:hAnsi="仿宋_GB2312" w:eastAsia="仿宋_GB2312" w:cs="仿宋_GB2312"/>
          <w:b w:val="0"/>
          <w:bCs w:val="0"/>
          <w:snapToGrid w:val="0"/>
          <w:color w:val="auto"/>
          <w:spacing w:val="13"/>
          <w:kern w:val="0"/>
          <w:sz w:val="32"/>
          <w:szCs w:val="32"/>
          <w:highlight w:val="none"/>
          <w:lang w:val="en-US" w:eastAsia="zh-CN"/>
        </w:rPr>
        <w:t>　　协作联动机制高效运转。健全社会动员、部门协同、上下联动工作机制，推动应急资源整合、救援力量联动，强化与上级部门、兄弟县市、兵地的沟通协作，形成防范应对突发事件的强大合力。</w:t>
      </w:r>
    </w:p>
    <w:p w14:paraId="7F4A50D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highlight w:val="none"/>
          <w:lang w:val="en-US" w:eastAsia="zh-CN"/>
        </w:rPr>
      </w:pPr>
      <w:r>
        <w:rPr>
          <w:rFonts w:hint="eastAsia" w:ascii="仿宋_GB2312" w:hAnsi="仿宋_GB2312" w:eastAsia="仿宋_GB2312" w:cs="仿宋_GB2312"/>
          <w:b w:val="0"/>
          <w:bCs w:val="0"/>
          <w:snapToGrid w:val="0"/>
          <w:color w:val="auto"/>
          <w:spacing w:val="13"/>
          <w:kern w:val="0"/>
          <w:sz w:val="32"/>
          <w:szCs w:val="32"/>
          <w:highlight w:val="none"/>
          <w:lang w:val="en-US" w:eastAsia="zh-CN"/>
        </w:rPr>
        <w:t>　　应急救援力量稳步壮大。建成</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18</w:t>
      </w:r>
      <w:r>
        <w:rPr>
          <w:rFonts w:hint="eastAsia" w:ascii="仿宋_GB2312" w:hAnsi="仿宋_GB2312" w:eastAsia="仿宋_GB2312" w:cs="仿宋_GB2312"/>
          <w:b w:val="0"/>
          <w:bCs w:val="0"/>
          <w:snapToGrid w:val="0"/>
          <w:color w:val="auto"/>
          <w:spacing w:val="13"/>
          <w:kern w:val="0"/>
          <w:sz w:val="32"/>
          <w:szCs w:val="32"/>
          <w:highlight w:val="none"/>
          <w:lang w:val="en-US" w:eastAsia="zh-CN"/>
        </w:rPr>
        <w:t>类</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43</w:t>
      </w:r>
      <w:r>
        <w:rPr>
          <w:rFonts w:hint="eastAsia" w:ascii="仿宋_GB2312" w:hAnsi="仿宋_GB2312" w:eastAsia="仿宋_GB2312" w:cs="仿宋_GB2312"/>
          <w:b w:val="0"/>
          <w:bCs w:val="0"/>
          <w:snapToGrid w:val="0"/>
          <w:color w:val="auto"/>
          <w:spacing w:val="13"/>
          <w:kern w:val="0"/>
          <w:sz w:val="32"/>
          <w:szCs w:val="32"/>
          <w:highlight w:val="none"/>
          <w:lang w:val="en-US" w:eastAsia="zh-CN"/>
        </w:rPr>
        <w:t>支共</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437</w:t>
      </w:r>
      <w:r>
        <w:rPr>
          <w:rFonts w:hint="eastAsia" w:ascii="仿宋_GB2312" w:hAnsi="仿宋_GB2312" w:eastAsia="仿宋_GB2312" w:cs="仿宋_GB2312"/>
          <w:b w:val="0"/>
          <w:bCs w:val="0"/>
          <w:snapToGrid w:val="0"/>
          <w:color w:val="auto"/>
          <w:spacing w:val="13"/>
          <w:kern w:val="0"/>
          <w:sz w:val="32"/>
          <w:szCs w:val="32"/>
          <w:highlight w:val="none"/>
          <w:lang w:val="en-US" w:eastAsia="zh-CN"/>
        </w:rPr>
        <w:t>人的县级专业应急救援队伍，以及乡、村两级应急救援力量</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426</w:t>
      </w:r>
      <w:r>
        <w:rPr>
          <w:rFonts w:hint="eastAsia" w:ascii="仿宋_GB2312" w:hAnsi="仿宋_GB2312" w:eastAsia="仿宋_GB2312" w:cs="仿宋_GB2312"/>
          <w:b w:val="0"/>
          <w:bCs w:val="0"/>
          <w:snapToGrid w:val="0"/>
          <w:color w:val="auto"/>
          <w:spacing w:val="13"/>
          <w:kern w:val="0"/>
          <w:sz w:val="32"/>
          <w:szCs w:val="32"/>
          <w:highlight w:val="none"/>
          <w:lang w:val="en-US" w:eastAsia="zh-CN"/>
        </w:rPr>
        <w:t>支共</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4260</w:t>
      </w:r>
      <w:r>
        <w:rPr>
          <w:rFonts w:hint="eastAsia" w:ascii="仿宋_GB2312" w:hAnsi="仿宋_GB2312" w:eastAsia="仿宋_GB2312" w:cs="仿宋_GB2312"/>
          <w:b w:val="0"/>
          <w:bCs w:val="0"/>
          <w:snapToGrid w:val="0"/>
          <w:color w:val="auto"/>
          <w:spacing w:val="13"/>
          <w:kern w:val="0"/>
          <w:sz w:val="32"/>
          <w:szCs w:val="32"/>
          <w:highlight w:val="none"/>
          <w:lang w:val="en-US" w:eastAsia="zh-CN"/>
        </w:rPr>
        <w:t>人，配备灾害信息员（报灾员）</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1320</w:t>
      </w:r>
      <w:r>
        <w:rPr>
          <w:rFonts w:hint="eastAsia" w:ascii="仿宋_GB2312" w:hAnsi="仿宋_GB2312" w:eastAsia="仿宋_GB2312" w:cs="仿宋_GB2312"/>
          <w:b w:val="0"/>
          <w:bCs w:val="0"/>
          <w:snapToGrid w:val="0"/>
          <w:color w:val="auto"/>
          <w:spacing w:val="13"/>
          <w:kern w:val="0"/>
          <w:sz w:val="32"/>
          <w:szCs w:val="32"/>
          <w:highlight w:val="none"/>
          <w:lang w:val="en-US" w:eastAsia="zh-CN"/>
        </w:rPr>
        <w:t>名，相关人员全部录入“全国应急信息员管理系统”并实行动态更新管理，确保应急队伍拉得出、稳得住、能救援，为突发事件处置提供坚实人力支撑。</w:t>
      </w:r>
      <w:bookmarkStart w:id="120" w:name="_Toc23694"/>
    </w:p>
    <w:p w14:paraId="57300091">
      <w:pPr>
        <w:keepNext w:val="0"/>
        <w:keepLines w:val="0"/>
        <w:pageBreakBefore w:val="0"/>
        <w:widowControl/>
        <w:kinsoku w:val="0"/>
        <w:wordWrap/>
        <w:overflowPunct/>
        <w:topLinePunct w:val="0"/>
        <w:autoSpaceDE w:val="0"/>
        <w:autoSpaceDN w:val="0"/>
        <w:bidi w:val="0"/>
        <w:adjustRightInd w:val="0"/>
        <w:snapToGrid w:val="0"/>
        <w:spacing w:line="576" w:lineRule="exact"/>
        <w:ind w:firstLine="0" w:firstLineChars="0"/>
        <w:jc w:val="center"/>
        <w:textAlignment w:val="baseline"/>
        <w:outlineLvl w:val="0"/>
        <w:rPr>
          <w:rFonts w:hint="eastAsia" w:ascii="方正楷体简体" w:hAnsi="方正楷体简体" w:eastAsia="方正楷体简体" w:cs="方正楷体简体"/>
          <w:b/>
          <w:bCs/>
          <w:snapToGrid w:val="0"/>
          <w:color w:val="000000"/>
          <w:spacing w:val="7"/>
          <w:kern w:val="0"/>
          <w:position w:val="1"/>
          <w:sz w:val="32"/>
          <w:szCs w:val="32"/>
          <w:lang w:val="en-US" w:eastAsia="zh-CN"/>
        </w:rPr>
      </w:pPr>
      <w:r>
        <w:rPr>
          <w:rFonts w:hint="eastAsia" w:ascii="方正楷体简体" w:hAnsi="方正楷体简体" w:eastAsia="方正楷体简体" w:cs="方正楷体简体"/>
          <w:b/>
          <w:bCs/>
          <w:snapToGrid w:val="0"/>
          <w:color w:val="000000"/>
          <w:spacing w:val="7"/>
          <w:kern w:val="0"/>
          <w:position w:val="1"/>
          <w:sz w:val="32"/>
          <w:szCs w:val="32"/>
          <w:lang w:val="en-US" w:eastAsia="zh-CN"/>
        </w:rPr>
        <w:t>第二节   存在的问题</w:t>
      </w:r>
      <w:bookmarkEnd w:id="120"/>
    </w:p>
    <w:p w14:paraId="72BDE5E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“十四五”期间，全县安全生产工作取得显著成效，但安全生产形势依然严峻，亡人事故仍有发生，安全生产监管仍存在若干突出问题和薄弱环节，与县委、县政府的要求以及人民群众的期盼仍有差距。</w:t>
      </w:r>
    </w:p>
    <w:p w14:paraId="4852A36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0" w:firstLineChars="0"/>
        <w:jc w:val="left"/>
        <w:textAlignment w:val="baseline"/>
        <w:outlineLvl w:val="3"/>
        <w:rPr>
          <w:rFonts w:hint="eastAsia" w:ascii="方正仿宋_GB2312" w:hAnsi="方正仿宋_GB2312" w:eastAsia="方正仿宋_GB2312" w:cs="方正仿宋_GB2312"/>
          <w:b w:val="0"/>
          <w:bCs w:val="0"/>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一、安全生产基础不够牢固</w:t>
      </w:r>
    </w:p>
    <w:p w14:paraId="7F8FD51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安全生产监管力量较为薄弱，体制机制不够完善，专业人才匮乏，第三方技术支撑不足，行业自律体系尚未健全。部分行业领域“三管三必须”要求落实不到位，综合监管与行业监管边界不够清晰，协同监管效能不高。企业安全基础薄弱，重点领域风险隐患集中，安全生产违法违规行为屡禁不止，从业人员安全教育培训成效不佳，“重生产、轻安全”的观念尚未实现根本转变，本质安全水平偏低。</w:t>
      </w:r>
    </w:p>
    <w:p w14:paraId="3D2605D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0" w:firstLineChars="0"/>
        <w:jc w:val="left"/>
        <w:textAlignment w:val="baseline"/>
        <w:outlineLvl w:val="4"/>
        <w:rPr>
          <w:rFonts w:hint="eastAsia" w:ascii="仿宋_GB2312" w:hAnsi="仿宋_GB2312" w:eastAsia="仿宋_GB2312" w:cs="仿宋_GB2312"/>
          <w:b/>
          <w:bCs/>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000000"/>
          <w:spacing w:val="10"/>
          <w:kern w:val="0"/>
          <w:sz w:val="32"/>
          <w:szCs w:val="32"/>
          <w:lang w:val="en-US" w:eastAsia="zh-CN"/>
        </w:rPr>
        <w:t>二、安全生产主体责任落实不到位</w:t>
      </w:r>
    </w:p>
    <w:p w14:paraId="224F62F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部分部门和单位安全发展理念不牢固，对统筹发展和安全认识不深、执行不力，尚未形成系统性安全生产思维和全流程风险管控意识。部分企业主体责任意识淡薄，隐患排查治理不深入、防控措施落实不严，安全管理制度不健全、执行不到位，风险防控与隐患治理闭环机制尚未完全建立。</w:t>
      </w:r>
    </w:p>
    <w:p w14:paraId="13150D7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0" w:firstLineChars="0"/>
        <w:jc w:val="left"/>
        <w:textAlignment w:val="baseline"/>
        <w:outlineLvl w:val="4"/>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000000"/>
          <w:spacing w:val="10"/>
          <w:kern w:val="0"/>
          <w:sz w:val="32"/>
          <w:szCs w:val="32"/>
          <w:lang w:val="en-US" w:eastAsia="zh-CN"/>
        </w:rPr>
        <w:t>三、安全生产智能化信息化水平有待提高</w:t>
      </w:r>
    </w:p>
    <w:p w14:paraId="229646FA">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仿宋_GB2312" w:hAnsi="仿宋_GB2312" w:eastAsia="仿宋_GB2312" w:cs="仿宋_GB2312"/>
          <w:b w:val="0"/>
          <w:bCs w:val="0"/>
          <w:snapToGrid w:val="0"/>
          <w:color w:val="000000"/>
          <w:spacing w:val="7"/>
          <w:kern w:val="0"/>
          <w:position w:val="1"/>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安全科技支撑力量不足，全生命周期、全链条信息化管理存在缺失，现有信息系统与企业安全生产实际结合不够紧密。大数据、物联网、智能装备等前沿技术在安全生产领域应用水平有待提高，全县整体安全生产信息化水平有待提升。</w:t>
      </w:r>
      <w:bookmarkStart w:id="121" w:name="_Toc26779"/>
      <w:r>
        <w:rPr>
          <w:rFonts w:hint="eastAsia" w:ascii="仿宋_GB2312" w:hAnsi="仿宋_GB2312" w:eastAsia="仿宋_GB2312" w:cs="仿宋_GB2312"/>
          <w:b w:val="0"/>
          <w:bCs w:val="0"/>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000000"/>
          <w:spacing w:val="7"/>
          <w:kern w:val="0"/>
          <w:position w:val="1"/>
          <w:sz w:val="32"/>
          <w:szCs w:val="32"/>
          <w:lang w:val="en-US" w:eastAsia="zh-CN"/>
        </w:rPr>
        <w:t>　</w:t>
      </w:r>
    </w:p>
    <w:p w14:paraId="147F46C3">
      <w:pPr>
        <w:keepNext w:val="0"/>
        <w:keepLines w:val="0"/>
        <w:pageBreakBefore w:val="0"/>
        <w:widowControl/>
        <w:kinsoku w:val="0"/>
        <w:wordWrap/>
        <w:overflowPunct/>
        <w:topLinePunct w:val="0"/>
        <w:autoSpaceDE w:val="0"/>
        <w:autoSpaceDN w:val="0"/>
        <w:bidi w:val="0"/>
        <w:adjustRightInd w:val="0"/>
        <w:snapToGrid w:val="0"/>
        <w:spacing w:line="576" w:lineRule="exact"/>
        <w:ind w:firstLine="0" w:firstLineChars="0"/>
        <w:jc w:val="center"/>
        <w:textAlignment w:val="baseline"/>
        <w:outlineLvl w:val="0"/>
        <w:rPr>
          <w:rFonts w:hint="eastAsia" w:ascii="方正楷体简体" w:hAnsi="方正楷体简体" w:eastAsia="方正楷体简体" w:cs="方正楷体简体"/>
          <w:b/>
          <w:bCs/>
          <w:snapToGrid w:val="0"/>
          <w:color w:val="000000"/>
          <w:spacing w:val="7"/>
          <w:kern w:val="0"/>
          <w:position w:val="1"/>
          <w:sz w:val="32"/>
          <w:szCs w:val="32"/>
          <w:lang w:val="en-US" w:eastAsia="zh-CN"/>
        </w:rPr>
      </w:pPr>
      <w:r>
        <w:rPr>
          <w:rFonts w:hint="eastAsia" w:ascii="方正楷体简体" w:hAnsi="方正楷体简体" w:eastAsia="方正楷体简体" w:cs="方正楷体简体"/>
          <w:b/>
          <w:bCs/>
          <w:snapToGrid w:val="0"/>
          <w:color w:val="000000"/>
          <w:spacing w:val="7"/>
          <w:kern w:val="0"/>
          <w:position w:val="1"/>
          <w:sz w:val="32"/>
          <w:szCs w:val="32"/>
          <w:lang w:val="en-US" w:eastAsia="zh-CN"/>
        </w:rPr>
        <w:t>第三节  发展机遇</w:t>
      </w:r>
      <w:bookmarkEnd w:id="121"/>
    </w:p>
    <w:p w14:paraId="4388A11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十五五”时期是我国全面建设社会主义现代化国家、向第二个百年奋斗目标进军的第一个五年，是新疆推进社会稳定和长治久安、高质量发展的关键时期，也是我县健全安全生产体系、提升安全治理能力的战略机遇期。</w:t>
      </w:r>
    </w:p>
    <w:p w14:paraId="24C6403B">
      <w:pPr>
        <w:keepNext w:val="0"/>
        <w:keepLines w:val="0"/>
        <w:pageBreakBefore w:val="0"/>
        <w:widowControl/>
        <w:numPr>
          <w:ilvl w:val="0"/>
          <w:numId w:val="0"/>
        </w:numPr>
        <w:kinsoku w:val="0"/>
        <w:wordWrap/>
        <w:overflowPunct/>
        <w:topLinePunct w:val="0"/>
        <w:autoSpaceDE w:val="0"/>
        <w:autoSpaceDN w:val="0"/>
        <w:bidi w:val="0"/>
        <w:adjustRightInd w:val="0"/>
        <w:snapToGrid w:val="0"/>
        <w:spacing w:afterAutospacing="0" w:line="560" w:lineRule="exact"/>
        <w:ind w:leftChars="0" w:right="0" w:rightChars="0" w:firstLine="0"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一、国家与自治区政策引领提供强大动力</w:t>
      </w:r>
    </w:p>
    <w:p w14:paraId="5C97F0D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国家“十五五”规划纲要明确提出“提高公共安全治理水平”，将安全生产摆在更加突出的重要位置。国务院安全生产委员会制定部署安全生产十五条措施，并印发《安全生产治本攻坚三年行动方案</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（2024—2026</w:t>
      </w:r>
      <w:r>
        <w:rPr>
          <w:rFonts w:hint="eastAsia" w:ascii="仿宋_GB2312" w:hAnsi="仿宋_GB2312" w:eastAsia="仿宋_GB2312" w:cs="仿宋_GB2312"/>
          <w:b w:val="0"/>
          <w:bCs w:val="0"/>
          <w:snapToGrid w:val="0"/>
          <w:color w:val="auto"/>
          <w:spacing w:val="13"/>
          <w:kern w:val="0"/>
          <w:sz w:val="32"/>
          <w:szCs w:val="32"/>
          <w:lang w:val="en-US" w:eastAsia="zh-CN"/>
        </w:rPr>
        <w:t>年）》（安委</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〔2024〕2</w:t>
      </w:r>
      <w:r>
        <w:rPr>
          <w:rFonts w:hint="eastAsia" w:ascii="仿宋_GB2312" w:hAnsi="仿宋_GB2312" w:eastAsia="仿宋_GB2312" w:cs="仿宋_GB2312"/>
          <w:b w:val="0"/>
          <w:bCs w:val="0"/>
          <w:snapToGrid w:val="0"/>
          <w:color w:val="auto"/>
          <w:spacing w:val="13"/>
          <w:kern w:val="0"/>
          <w:sz w:val="32"/>
          <w:szCs w:val="32"/>
          <w:lang w:val="en-US" w:eastAsia="zh-CN"/>
        </w:rPr>
        <w:t>号），明确攻坚重点，细化工作举措，围绕压实安全生产责任、提升本质安全水平、强化重点行业领域整治、严格监管执法考核等方面作出部署，为全国安全生产工作指明了方向、提供了根本遵循。</w:t>
      </w:r>
    </w:p>
    <w:p w14:paraId="7667AC8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　2023</w:t>
      </w:r>
      <w:r>
        <w:rPr>
          <w:rFonts w:hint="eastAsia" w:ascii="仿宋_GB2312" w:hAnsi="仿宋_GB2312" w:eastAsia="仿宋_GB2312" w:cs="仿宋_GB2312"/>
          <w:b w:val="0"/>
          <w:bCs w:val="0"/>
          <w:snapToGrid w:val="0"/>
          <w:color w:val="auto"/>
          <w:spacing w:val="13"/>
          <w:kern w:val="0"/>
          <w:sz w:val="32"/>
          <w:szCs w:val="32"/>
          <w:lang w:val="en-US" w:eastAsia="zh-CN"/>
        </w:rPr>
        <w:t>年</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9</w:t>
      </w:r>
      <w:r>
        <w:rPr>
          <w:rFonts w:hint="eastAsia" w:ascii="仿宋_GB2312" w:hAnsi="仿宋_GB2312" w:eastAsia="仿宋_GB2312" w:cs="仿宋_GB2312"/>
          <w:b w:val="0"/>
          <w:bCs w:val="0"/>
          <w:snapToGrid w:val="0"/>
          <w:color w:val="auto"/>
          <w:spacing w:val="13"/>
          <w:kern w:val="0"/>
          <w:sz w:val="32"/>
          <w:szCs w:val="32"/>
          <w:lang w:val="en-US" w:eastAsia="zh-CN"/>
        </w:rPr>
        <w:t>月</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28</w:t>
      </w:r>
      <w:r>
        <w:rPr>
          <w:rFonts w:hint="eastAsia" w:ascii="仿宋_GB2312" w:hAnsi="仿宋_GB2312" w:eastAsia="仿宋_GB2312" w:cs="仿宋_GB2312"/>
          <w:b w:val="0"/>
          <w:bCs w:val="0"/>
          <w:snapToGrid w:val="0"/>
          <w:color w:val="auto"/>
          <w:spacing w:val="13"/>
          <w:kern w:val="0"/>
          <w:sz w:val="32"/>
          <w:szCs w:val="32"/>
          <w:lang w:val="en-US" w:eastAsia="zh-CN"/>
        </w:rPr>
        <w:t>日经自治区人大审议通过的《新疆维吾尔自治区安全生产条例》，以及《自治区安全生产治本攻坚三年行动方案</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（2024—2026年）</w:t>
      </w:r>
      <w:r>
        <w:rPr>
          <w:rFonts w:hint="eastAsia" w:ascii="仿宋_GB2312" w:hAnsi="仿宋_GB2312" w:eastAsia="仿宋_GB2312" w:cs="仿宋_GB2312"/>
          <w:b w:val="0"/>
          <w:bCs w:val="0"/>
          <w:snapToGrid w:val="0"/>
          <w:color w:val="auto"/>
          <w:spacing w:val="13"/>
          <w:kern w:val="0"/>
          <w:sz w:val="32"/>
          <w:szCs w:val="32"/>
          <w:lang w:val="en-US" w:eastAsia="zh-CN"/>
        </w:rPr>
        <w:t>》，围绕深入推进应急管理体系和能力现代化，推动安全生产治理模式向事前预防转型，完善大安全大应急框架，健全责任体系、法治体系、保障体系提出明确要求，为我县安全生产工作提供了坚实政策支撑与制度保障。</w:t>
      </w:r>
    </w:p>
    <w:p w14:paraId="30578FC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Arial" w:hAnsi="Arial" w:eastAsia="宋体" w:cs="Arial"/>
          <w:snapToGrid w:val="0"/>
          <w:color w:val="000000"/>
          <w:spacing w:val="0"/>
          <w:kern w:val="0"/>
          <w:sz w:val="21"/>
          <w:szCs w:val="21"/>
          <w:lang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二、安全发展理念深入人心，社会共识持续凝聚</w:t>
      </w:r>
    </w:p>
    <w:p w14:paraId="255DEF2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随着经济社会发展和人民生活水平不断提高，以人为本、生命至上、安全发展的理念更加深入人心，人民群众安全需求日益增长，安全素养持续提升，全社会关心安全、参与安全、守护安全的氛围日益浓厚，为推动安全生产社会共治、共建共享奠定了坚实群众基础。</w:t>
      </w:r>
    </w:p>
    <w:p w14:paraId="288B193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Chars="0" w:right="0" w:firstLine="0" w:firstLineChars="0"/>
        <w:jc w:val="left"/>
        <w:textAlignment w:val="baseline"/>
        <w:rPr>
          <w:rFonts w:hint="eastAsia" w:ascii="Arial" w:hAnsi="Arial" w:eastAsia="宋体" w:cs="Arial"/>
          <w:snapToGrid w:val="0"/>
          <w:color w:val="000000"/>
          <w:spacing w:val="0"/>
          <w:kern w:val="0"/>
          <w:sz w:val="21"/>
          <w:szCs w:val="21"/>
          <w:lang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三、高质量发展与科技赋能助力本质安全水平提升</w:t>
      </w:r>
    </w:p>
    <w:p w14:paraId="6A87B81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经济社会高质量发展推动产业结构优化升级，落后产能加快退出，新兴产业规范发展，有利于从源头上降低安全风险。科技创新快速发展，“科技强安”战略深入实施，机械化换人、自动化减人、智能化管控加快推进，为提升企业本质安全水平、创新安全监管模式、提高风险防控效能提供了有力技术支撑。</w:t>
      </w:r>
    </w:p>
    <w:p w14:paraId="260B6ED3">
      <w:pPr>
        <w:keepNext w:val="0"/>
        <w:keepLines w:val="0"/>
        <w:pageBreakBefore w:val="0"/>
        <w:widowControl/>
        <w:kinsoku w:val="0"/>
        <w:wordWrap/>
        <w:overflowPunct/>
        <w:topLinePunct w:val="0"/>
        <w:autoSpaceDE w:val="0"/>
        <w:autoSpaceDN w:val="0"/>
        <w:bidi w:val="0"/>
        <w:adjustRightInd w:val="0"/>
        <w:snapToGrid w:val="0"/>
        <w:spacing w:line="576" w:lineRule="exact"/>
        <w:ind w:firstLine="0" w:firstLineChars="0"/>
        <w:jc w:val="center"/>
        <w:textAlignment w:val="baseline"/>
        <w:outlineLvl w:val="0"/>
        <w:rPr>
          <w:rFonts w:hint="eastAsia" w:ascii="方正楷体简体" w:hAnsi="方正楷体简体" w:eastAsia="方正楷体简体" w:cs="方正楷体简体"/>
          <w:b/>
          <w:bCs/>
          <w:snapToGrid w:val="0"/>
          <w:color w:val="000000"/>
          <w:spacing w:val="7"/>
          <w:kern w:val="0"/>
          <w:position w:val="1"/>
          <w:sz w:val="32"/>
          <w:szCs w:val="32"/>
          <w:lang w:val="en-US" w:eastAsia="zh-CN"/>
        </w:rPr>
      </w:pPr>
      <w:bookmarkStart w:id="122" w:name="_Toc15208"/>
      <w:r>
        <w:rPr>
          <w:rFonts w:hint="eastAsia" w:ascii="方正楷体简体" w:hAnsi="方正楷体简体" w:eastAsia="方正楷体简体" w:cs="方正楷体简体"/>
          <w:b/>
          <w:bCs/>
          <w:snapToGrid w:val="0"/>
          <w:color w:val="000000"/>
          <w:spacing w:val="7"/>
          <w:kern w:val="0"/>
          <w:position w:val="1"/>
          <w:sz w:val="32"/>
          <w:szCs w:val="32"/>
          <w:lang w:val="en-US" w:eastAsia="zh-CN"/>
        </w:rPr>
        <w:t>第四节  面临的挑战</w:t>
      </w:r>
      <w:bookmarkEnd w:id="122"/>
    </w:p>
    <w:p w14:paraId="4174BE1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方正仿宋_GB2312" w:hAnsi="方正仿宋_GB2312" w:eastAsia="方正仿宋_GB2312" w:cs="方正仿宋_GB2312"/>
          <w:b w:val="0"/>
          <w:bCs w:val="0"/>
          <w:snapToGrid w:val="0"/>
          <w:color w:val="auto"/>
          <w:spacing w:val="13"/>
          <w:kern w:val="0"/>
          <w:sz w:val="32"/>
          <w:szCs w:val="32"/>
          <w:lang w:val="en-US" w:eastAsia="zh-CN"/>
        </w:rPr>
      </w:pPr>
      <w:r>
        <w:rPr>
          <w:rFonts w:hint="eastAsia" w:ascii="仿宋" w:hAnsi="仿宋" w:eastAsia="仿宋" w:cs="仿宋"/>
          <w:b/>
          <w:bCs/>
          <w:snapToGrid w:val="0"/>
          <w:color w:val="000000"/>
          <w:spacing w:val="10"/>
          <w:kern w:val="0"/>
          <w:sz w:val="32"/>
          <w:szCs w:val="32"/>
          <w:lang w:val="en-US" w:eastAsia="zh-CN" w:bidi="ar-SA"/>
        </w:rPr>
        <w:t>　</w:t>
      </w: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000000"/>
          <w:spacing w:val="10"/>
          <w:kern w:val="0"/>
          <w:sz w:val="32"/>
          <w:szCs w:val="32"/>
          <w:lang w:val="en-US" w:eastAsia="zh-CN"/>
        </w:rPr>
        <w:t>一、安全生产保障条件存在明显短板</w:t>
      </w:r>
    </w:p>
    <w:p w14:paraId="71527C3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部分企业安全发展理念淡薄，安全生产法规标准执行不严，安全投入不足、管理粗放。危险化学品、矿山等高危行业产业布局不合理、结构调整不到位，小、散、乱问题尚未根本解决，机械化、自动化、信息化程度不高，本质安全水平偏低。中小微企业受效益驱动影响，安全生产主体责任落实不到位，安全基础薄弱、管理混乱，隐患排查治理不彻底，安全风险居高不下。</w:t>
      </w:r>
    </w:p>
    <w:p w14:paraId="2951B9B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0" w:firstLineChars="0"/>
        <w:jc w:val="left"/>
        <w:textAlignment w:val="baseline"/>
        <w:outlineLvl w:val="4"/>
        <w:rPr>
          <w:rFonts w:hint="eastAsia" w:ascii="仿宋_GB2312" w:hAnsi="仿宋_GB2312" w:eastAsia="仿宋_GB2312" w:cs="仿宋_GB2312"/>
          <w:b/>
          <w:bCs/>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000000"/>
          <w:spacing w:val="10"/>
          <w:kern w:val="0"/>
          <w:sz w:val="32"/>
          <w:szCs w:val="32"/>
          <w:lang w:val="en-US" w:eastAsia="zh-CN"/>
        </w:rPr>
        <w:t>二、安全生产风险结构发生变化</w:t>
      </w:r>
    </w:p>
    <w:p w14:paraId="5E261B5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工业化、城镇化持续推进，生产要素流动加快、风险集聚效应凸显，事故隐蔽性、突发性、耦合性明显增强。传统高危行业领域存量风险尚未有效化解，新工艺、新装备、新材料、新技术广泛应用带来新兴风险，外卖平台、电动自行车、环保设施、民宿、农家乐等新业态风险持续凸显，风险类型更加多样、防控难度持续加大，对安全监管和应急处置提出更高要求。</w:t>
      </w:r>
    </w:p>
    <w:p w14:paraId="3CEC3F2C">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left"/>
        <w:textAlignment w:val="baseline"/>
        <w:outlineLvl w:val="4"/>
        <w:rPr>
          <w:rFonts w:hint="eastAsia" w:ascii="方正仿宋_GB2312" w:hAnsi="方正仿宋_GB2312" w:eastAsia="方正仿宋_GB2312" w:cs="方正仿宋_GB2312"/>
          <w:b w:val="0"/>
          <w:bCs w:val="0"/>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三、安全生产监管能力难以适应新形势新任务</w:t>
      </w:r>
    </w:p>
    <w:p w14:paraId="690D730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监管执法队伍专业化、规范化、智能化水平不高，存在专业人才匮乏、装备保障不足等问题，风险辨识、监测预警、执法办案、应急处置能力仍有短板。基层监管力量薄弱、经费保障不足，难以实现全覆盖、精准化、常态化监管。</w:t>
      </w:r>
    </w:p>
    <w:p w14:paraId="2744ACF8">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000000"/>
          <w:spacing w:val="10"/>
          <w:kern w:val="0"/>
          <w:sz w:val="32"/>
          <w:szCs w:val="32"/>
          <w:lang w:val="en-US" w:eastAsia="zh-CN"/>
        </w:rPr>
        <w:t>四、人民群众的安全期待提升带来更高工作要求</w:t>
      </w:r>
    </w:p>
    <w:p w14:paraId="11594E6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各类生产安全事故直接关系人民群众生命财产安全，随着经济社会发展，人民群众对生命安全、财产安全、人居环境安全的要求不断提高，对重特大生产安全事故容忍度持续降低，对安全生产工作的标准、效率、质量提出了更高要求，做好安全生产工作责任更重、压力更大。</w:t>
      </w:r>
    </w:p>
    <w:p w14:paraId="0C41073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default" w:ascii="仿宋" w:hAnsi="仿宋" w:eastAsia="仿宋" w:cs="仿宋"/>
          <w:snapToGrid w:val="0"/>
          <w:color w:val="auto"/>
          <w:spacing w:val="13"/>
          <w:kern w:val="0"/>
          <w:sz w:val="32"/>
          <w:szCs w:val="32"/>
          <w:lang w:val="en-US" w:eastAsia="zh-CN"/>
        </w:rPr>
      </w:pPr>
      <w:r>
        <w:rPr>
          <w:rFonts w:hint="eastAsia" w:ascii="仿宋" w:hAnsi="仿宋" w:eastAsia="仿宋" w:cs="仿宋"/>
          <w:snapToGrid w:val="0"/>
          <w:color w:val="auto"/>
          <w:spacing w:val="13"/>
          <w:kern w:val="0"/>
          <w:sz w:val="32"/>
          <w:szCs w:val="32"/>
          <w:lang w:val="en-US" w:eastAsia="zh-CN"/>
        </w:rPr>
        <w:t>　　</w:t>
      </w:r>
    </w:p>
    <w:p w14:paraId="717B4A26">
      <w:pPr>
        <w:keepNext w:val="0"/>
        <w:keepLines w:val="0"/>
        <w:pageBreakBefore w:val="0"/>
        <w:widowControl/>
        <w:numPr>
          <w:ilvl w:val="0"/>
          <w:numId w:val="5"/>
        </w:numPr>
        <w:kinsoku w:val="0"/>
        <w:wordWrap/>
        <w:overflowPunct/>
        <w:topLinePunct w:val="0"/>
        <w:autoSpaceDE w:val="0"/>
        <w:autoSpaceDN w:val="0"/>
        <w:bidi w:val="0"/>
        <w:adjustRightInd w:val="0"/>
        <w:snapToGrid w:val="0"/>
        <w:spacing w:line="576" w:lineRule="exact"/>
        <w:ind w:right="0" w:firstLine="0" w:firstLineChars="0"/>
        <w:jc w:val="center"/>
        <w:textAlignment w:val="baseline"/>
        <w:outlineLvl w:val="0"/>
        <w:rPr>
          <w:rFonts w:hint="eastAsia" w:ascii="微软雅黑" w:hAnsi="微软雅黑" w:eastAsia="微软雅黑" w:cs="微软雅黑"/>
          <w:snapToGrid w:val="0"/>
          <w:color w:val="000000"/>
          <w:spacing w:val="7"/>
          <w:kern w:val="0"/>
          <w:position w:val="1"/>
          <w:sz w:val="32"/>
          <w:szCs w:val="32"/>
          <w:lang w:val="en-US" w:eastAsia="zh-CN"/>
        </w:rPr>
      </w:pPr>
      <w:bookmarkStart w:id="123" w:name="_Toc1108"/>
      <w:r>
        <w:rPr>
          <w:rFonts w:hint="eastAsia" w:ascii="黑体" w:hAnsi="黑体" w:eastAsia="黑体" w:cs="黑体"/>
          <w:snapToGrid w:val="0"/>
          <w:color w:val="000000"/>
          <w:spacing w:val="7"/>
          <w:kern w:val="0"/>
          <w:position w:val="1"/>
          <w:sz w:val="32"/>
          <w:szCs w:val="32"/>
          <w:lang w:val="en-US" w:eastAsia="zh-CN"/>
        </w:rPr>
        <w:t xml:space="preserve"> 指导思想、基本原则和规划目标</w:t>
      </w:r>
      <w:bookmarkEnd w:id="123"/>
    </w:p>
    <w:p w14:paraId="56CAC686">
      <w:pPr>
        <w:keepNext w:val="0"/>
        <w:keepLines w:val="0"/>
        <w:pageBreakBefore w:val="0"/>
        <w:widowControl/>
        <w:kinsoku w:val="0"/>
        <w:wordWrap/>
        <w:overflowPunct/>
        <w:topLinePunct w:val="0"/>
        <w:autoSpaceDE w:val="0"/>
        <w:autoSpaceDN w:val="0"/>
        <w:bidi w:val="0"/>
        <w:adjustRightInd w:val="0"/>
        <w:snapToGrid w:val="0"/>
        <w:spacing w:line="576" w:lineRule="exact"/>
        <w:ind w:firstLine="0" w:firstLineChars="0"/>
        <w:jc w:val="center"/>
        <w:textAlignment w:val="baseline"/>
        <w:outlineLvl w:val="0"/>
        <w:rPr>
          <w:rFonts w:hint="eastAsia" w:ascii="方正楷体简体" w:hAnsi="方正楷体简体" w:eastAsia="方正楷体简体" w:cs="方正楷体简体"/>
          <w:b/>
          <w:bCs/>
          <w:snapToGrid w:val="0"/>
          <w:color w:val="000000"/>
          <w:spacing w:val="7"/>
          <w:kern w:val="0"/>
          <w:position w:val="1"/>
          <w:sz w:val="32"/>
          <w:szCs w:val="32"/>
          <w:lang w:val="en-US" w:eastAsia="zh-CN"/>
        </w:rPr>
      </w:pPr>
      <w:bookmarkStart w:id="124" w:name="_Toc13060"/>
      <w:r>
        <w:rPr>
          <w:rFonts w:hint="eastAsia" w:ascii="方正楷体简体" w:hAnsi="方正楷体简体" w:eastAsia="方正楷体简体" w:cs="方正楷体简体"/>
          <w:b/>
          <w:bCs/>
          <w:snapToGrid w:val="0"/>
          <w:color w:val="000000"/>
          <w:spacing w:val="7"/>
          <w:kern w:val="0"/>
          <w:position w:val="1"/>
          <w:sz w:val="32"/>
          <w:szCs w:val="32"/>
          <w:lang w:val="en-US" w:eastAsia="zh-CN"/>
        </w:rPr>
        <w:t>第一节 指导思想</w:t>
      </w:r>
      <w:bookmarkEnd w:id="124"/>
    </w:p>
    <w:p w14:paraId="1E60D60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坚持以习近平新时代中国特色社会主义思想为指导，深入学习贯彻习近平总书记关于安全生产的重要论述，全面落实习近平总书记关于新疆工作的重要讲话重要指示批示精神，统筹发展和安全，坚决防范遏制重特大生产安全事故，持续压减事故总量，深化源头治理、系统治理和综合治理，强化安全生产责任落实、隐患排查治理、监管执法监察和基础保障体系建设，突出安全生产制度体系构建，着力破解重点行业领域瓶颈性、根本性、系统性安全问题，提升防范化解重大安全风险能力，推动地区安全生产整体水平稳步提升，持续巩固安全发展根基。</w:t>
      </w:r>
    </w:p>
    <w:p w14:paraId="20E0F66A">
      <w:pPr>
        <w:keepNext w:val="0"/>
        <w:keepLines w:val="0"/>
        <w:pageBreakBefore w:val="0"/>
        <w:widowControl/>
        <w:kinsoku w:val="0"/>
        <w:wordWrap/>
        <w:overflowPunct/>
        <w:topLinePunct w:val="0"/>
        <w:autoSpaceDE w:val="0"/>
        <w:autoSpaceDN w:val="0"/>
        <w:bidi w:val="0"/>
        <w:adjustRightInd w:val="0"/>
        <w:snapToGrid w:val="0"/>
        <w:spacing w:line="576" w:lineRule="exact"/>
        <w:ind w:firstLine="0" w:firstLineChars="0"/>
        <w:jc w:val="center"/>
        <w:textAlignment w:val="baseline"/>
        <w:outlineLvl w:val="0"/>
        <w:rPr>
          <w:rFonts w:hint="eastAsia" w:ascii="方正楷体简体" w:hAnsi="方正楷体简体" w:eastAsia="方正楷体简体" w:cs="方正楷体简体"/>
          <w:b/>
          <w:bCs/>
          <w:snapToGrid w:val="0"/>
          <w:color w:val="000000"/>
          <w:spacing w:val="7"/>
          <w:kern w:val="0"/>
          <w:position w:val="1"/>
          <w:sz w:val="32"/>
          <w:szCs w:val="32"/>
          <w:lang w:val="en-US" w:eastAsia="zh-CN"/>
        </w:rPr>
      </w:pPr>
      <w:bookmarkStart w:id="125" w:name="_Toc25166"/>
      <w:r>
        <w:rPr>
          <w:rFonts w:hint="eastAsia" w:ascii="方正楷体简体" w:hAnsi="方正楷体简体" w:eastAsia="方正楷体简体" w:cs="方正楷体简体"/>
          <w:b/>
          <w:bCs/>
          <w:snapToGrid w:val="0"/>
          <w:color w:val="000000"/>
          <w:spacing w:val="7"/>
          <w:kern w:val="0"/>
          <w:position w:val="1"/>
          <w:sz w:val="32"/>
          <w:szCs w:val="32"/>
          <w:lang w:val="en-US" w:eastAsia="zh-CN"/>
        </w:rPr>
        <w:t xml:space="preserve"> 第二节 基本原则</w:t>
      </w:r>
      <w:bookmarkEnd w:id="125"/>
    </w:p>
    <w:p w14:paraId="2629665B">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政治引领，系统治理。突出政治引领，坚持人民至上、生命至上，强化党委、政府领导责任、部门监管责任和企业主体责任，运用系统思维指导安全生产工作实践，全面践行安全发展理念。</w:t>
      </w:r>
    </w:p>
    <w:p w14:paraId="1CC9DE8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源头管控，标本兼治。紧扣国家、自治区以及地区“十五五”规划纲要关于“提高安全生产水平”部署要求，严把安全准入关口，强化风险前置管控，从规划、设计、建设、生产全流程防范化解安全风险，深化重点行业领域治本攻坚，从根本上消除事故隐患、解决问题，推动实现安全与发展有机统一。</w:t>
      </w:r>
    </w:p>
    <w:p w14:paraId="6F00473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科技赋能，本质安全。依托工业互联网、智能化、数字化技术，围绕产业链布局创新链，深入实施科技兴安战略，建立政府、企业、社会多元投入机制，从根本上提升安全生产保障能力。</w:t>
      </w:r>
    </w:p>
    <w:p w14:paraId="158ABB8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依法监管，规范高效。深入贯彻《中华人民共和国安全生产法》《新疆维吾尔自治区安全生产条例》等法律法规，健全安全生产法治体系，规范监管执法行为，坚持严格规范公正文明执法，提升执法专业化、规范化、精准化水平，营造尊法学法守法用法的良好法治环境。</w:t>
      </w:r>
    </w:p>
    <w:p w14:paraId="0FB8B82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全员参与，共治共享。充分发挥各安全生产参与主体的积极作用，灵活运用企业征信、商业保险等市场调节机制，发挥基层力量在安全生产中的前沿哨点作用，推动实现社会共治、责任共担、安全共享。</w:t>
      </w:r>
    </w:p>
    <w:p w14:paraId="4875637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default" w:ascii="仿宋_GB2312" w:hAnsi="仿宋_GB2312" w:eastAsia="仿宋_GB2312" w:cs="仿宋_GB2312"/>
          <w:b w:val="0"/>
          <w:bCs w:val="0"/>
          <w:snapToGrid w:val="0"/>
          <w:color w:val="auto"/>
          <w:spacing w:val="13"/>
          <w:kern w:val="0"/>
          <w:sz w:val="32"/>
          <w:szCs w:val="32"/>
          <w:lang w:val="en-US" w:eastAsia="zh-CN"/>
        </w:rPr>
      </w:pPr>
    </w:p>
    <w:p w14:paraId="5FD4EEB8">
      <w:pPr>
        <w:keepNext w:val="0"/>
        <w:keepLines w:val="0"/>
        <w:pageBreakBefore w:val="0"/>
        <w:widowControl/>
        <w:kinsoku w:val="0"/>
        <w:wordWrap/>
        <w:overflowPunct/>
        <w:topLinePunct w:val="0"/>
        <w:autoSpaceDE w:val="0"/>
        <w:autoSpaceDN w:val="0"/>
        <w:bidi w:val="0"/>
        <w:adjustRightInd w:val="0"/>
        <w:snapToGrid w:val="0"/>
        <w:spacing w:line="576" w:lineRule="exact"/>
        <w:ind w:firstLine="0" w:firstLineChars="0"/>
        <w:jc w:val="center"/>
        <w:textAlignment w:val="baseline"/>
        <w:outlineLvl w:val="0"/>
        <w:rPr>
          <w:rFonts w:hint="eastAsia" w:ascii="方正楷体简体" w:hAnsi="方正楷体简体" w:eastAsia="方正楷体简体" w:cs="方正楷体简体"/>
          <w:b/>
          <w:bCs/>
          <w:snapToGrid w:val="0"/>
          <w:color w:val="000000"/>
          <w:spacing w:val="7"/>
          <w:kern w:val="0"/>
          <w:position w:val="1"/>
          <w:sz w:val="32"/>
          <w:szCs w:val="32"/>
          <w:lang w:val="en-US" w:eastAsia="zh-CN"/>
        </w:rPr>
      </w:pPr>
      <w:bookmarkStart w:id="126" w:name="_Toc23378"/>
      <w:r>
        <w:rPr>
          <w:rFonts w:hint="eastAsia" w:ascii="方正楷体简体" w:hAnsi="方正楷体简体" w:eastAsia="方正楷体简体" w:cs="方正楷体简体"/>
          <w:b/>
          <w:bCs/>
          <w:snapToGrid w:val="0"/>
          <w:color w:val="000000"/>
          <w:spacing w:val="7"/>
          <w:kern w:val="0"/>
          <w:position w:val="1"/>
          <w:sz w:val="32"/>
          <w:szCs w:val="32"/>
          <w:lang w:val="en-US" w:eastAsia="zh-CN"/>
        </w:rPr>
        <w:t xml:space="preserve"> 第三节 规划目标</w:t>
      </w:r>
      <w:bookmarkEnd w:id="126"/>
    </w:p>
    <w:p w14:paraId="09BEEFA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default" w:ascii="仿宋_GB2312" w:hAnsi="仿宋_GB2312" w:eastAsia="仿宋_GB2312" w:cs="仿宋_GB2312"/>
          <w:b w:val="0"/>
          <w:bCs w:val="0"/>
          <w:snapToGrid w:val="0"/>
          <w:color w:val="auto"/>
          <w:spacing w:val="13"/>
          <w:kern w:val="0"/>
          <w:sz w:val="32"/>
          <w:szCs w:val="32"/>
          <w:lang w:val="en-US" w:eastAsia="zh-CN"/>
        </w:rPr>
      </w:pPr>
      <w:r>
        <w:rPr>
          <w:rFonts w:hint="default" w:ascii="仿宋_GB2312" w:hAnsi="仿宋_GB2312" w:eastAsia="仿宋_GB2312" w:cs="仿宋_GB2312"/>
          <w:b w:val="0"/>
          <w:bCs w:val="0"/>
          <w:snapToGrid w:val="0"/>
          <w:color w:val="auto"/>
          <w:spacing w:val="13"/>
          <w:kern w:val="0"/>
          <w:sz w:val="32"/>
          <w:szCs w:val="32"/>
          <w:lang w:val="en-US" w:eastAsia="zh-CN"/>
        </w:rPr>
        <w:t>到</w:t>
      </w:r>
      <w:r>
        <w:rPr>
          <w:rFonts w:hint="default" w:ascii="Times New Roman" w:hAnsi="Times New Roman" w:eastAsia="仿宋_GB2312" w:cs="Times New Roman"/>
          <w:b w:val="0"/>
          <w:bCs w:val="0"/>
          <w:snapToGrid w:val="0"/>
          <w:color w:val="auto"/>
          <w:spacing w:val="13"/>
          <w:kern w:val="0"/>
          <w:sz w:val="32"/>
          <w:szCs w:val="32"/>
          <w:highlight w:val="none"/>
          <w:lang w:val="en-US" w:eastAsia="zh-CN"/>
        </w:rPr>
        <w:t>2030</w:t>
      </w:r>
      <w:r>
        <w:rPr>
          <w:rFonts w:hint="default" w:ascii="仿宋_GB2312" w:hAnsi="仿宋_GB2312" w:eastAsia="仿宋_GB2312" w:cs="仿宋_GB2312"/>
          <w:b w:val="0"/>
          <w:bCs w:val="0"/>
          <w:snapToGrid w:val="0"/>
          <w:color w:val="auto"/>
          <w:spacing w:val="13"/>
          <w:kern w:val="0"/>
          <w:sz w:val="32"/>
          <w:szCs w:val="32"/>
          <w:lang w:val="en-US" w:eastAsia="zh-CN"/>
        </w:rPr>
        <w:t>年，全县防范化解重大安全风险体制机制更加健全，安全生产责任体系全面压实，安全风险防控水平显著</w:t>
      </w:r>
      <w:r>
        <w:rPr>
          <w:rFonts w:hint="eastAsia" w:ascii="仿宋_GB2312" w:hAnsi="仿宋_GB2312" w:eastAsia="仿宋_GB2312" w:cs="仿宋_GB2312"/>
          <w:b w:val="0"/>
          <w:bCs w:val="0"/>
          <w:snapToGrid w:val="0"/>
          <w:color w:val="auto"/>
          <w:spacing w:val="13"/>
          <w:kern w:val="0"/>
          <w:sz w:val="32"/>
          <w:szCs w:val="32"/>
          <w:lang w:val="en-US" w:eastAsia="zh-CN"/>
        </w:rPr>
        <w:t>提升</w:t>
      </w:r>
      <w:r>
        <w:rPr>
          <w:rFonts w:hint="default" w:ascii="仿宋_GB2312" w:hAnsi="仿宋_GB2312" w:eastAsia="仿宋_GB2312" w:cs="仿宋_GB2312"/>
          <w:b w:val="0"/>
          <w:bCs w:val="0"/>
          <w:snapToGrid w:val="0"/>
          <w:color w:val="auto"/>
          <w:spacing w:val="13"/>
          <w:kern w:val="0"/>
          <w:sz w:val="32"/>
          <w:szCs w:val="32"/>
          <w:lang w:val="en-US" w:eastAsia="zh-CN"/>
        </w:rPr>
        <w:t>，安全生产保障能力大幅增强，</w:t>
      </w:r>
      <w:r>
        <w:rPr>
          <w:rFonts w:hint="eastAsia" w:ascii="仿宋_GB2312" w:hAnsi="仿宋_GB2312" w:eastAsia="仿宋_GB2312" w:cs="仿宋_GB2312"/>
          <w:b w:val="0"/>
          <w:bCs w:val="0"/>
          <w:snapToGrid w:val="0"/>
          <w:color w:val="auto"/>
          <w:spacing w:val="13"/>
          <w:kern w:val="0"/>
          <w:sz w:val="32"/>
          <w:szCs w:val="32"/>
          <w:lang w:val="en-US" w:eastAsia="zh-CN"/>
        </w:rPr>
        <w:t>安全生产</w:t>
      </w:r>
      <w:r>
        <w:rPr>
          <w:rFonts w:hint="default" w:ascii="仿宋_GB2312" w:hAnsi="仿宋_GB2312" w:eastAsia="仿宋_GB2312" w:cs="仿宋_GB2312"/>
          <w:b w:val="0"/>
          <w:bCs w:val="0"/>
          <w:snapToGrid w:val="0"/>
          <w:color w:val="auto"/>
          <w:spacing w:val="13"/>
          <w:kern w:val="0"/>
          <w:sz w:val="32"/>
          <w:szCs w:val="32"/>
          <w:lang w:val="en-US" w:eastAsia="zh-CN"/>
        </w:rPr>
        <w:t>共建共治共享格局基本形成，有效遏制较大</w:t>
      </w:r>
      <w:r>
        <w:rPr>
          <w:rFonts w:hint="eastAsia" w:ascii="仿宋_GB2312" w:hAnsi="仿宋_GB2312" w:eastAsia="仿宋_GB2312" w:cs="仿宋_GB2312"/>
          <w:b w:val="0"/>
          <w:bCs w:val="0"/>
          <w:snapToGrid w:val="0"/>
          <w:color w:val="auto"/>
          <w:spacing w:val="13"/>
          <w:kern w:val="0"/>
          <w:sz w:val="32"/>
          <w:szCs w:val="32"/>
          <w:lang w:val="en-US" w:eastAsia="zh-CN"/>
        </w:rPr>
        <w:t>生产安全事故</w:t>
      </w:r>
      <w:r>
        <w:rPr>
          <w:rFonts w:hint="default" w:ascii="仿宋_GB2312" w:hAnsi="仿宋_GB2312" w:eastAsia="仿宋_GB2312" w:cs="仿宋_GB2312"/>
          <w:b w:val="0"/>
          <w:bCs w:val="0"/>
          <w:snapToGrid w:val="0"/>
          <w:color w:val="auto"/>
          <w:spacing w:val="13"/>
          <w:kern w:val="0"/>
          <w:sz w:val="32"/>
          <w:szCs w:val="32"/>
          <w:lang w:val="en-US" w:eastAsia="zh-CN"/>
        </w:rPr>
        <w:t>，坚决杜绝重特大</w:t>
      </w:r>
      <w:r>
        <w:rPr>
          <w:rFonts w:hint="eastAsia" w:ascii="仿宋_GB2312" w:hAnsi="仿宋_GB2312" w:eastAsia="仿宋_GB2312" w:cs="仿宋_GB2312"/>
          <w:b w:val="0"/>
          <w:bCs w:val="0"/>
          <w:snapToGrid w:val="0"/>
          <w:color w:val="auto"/>
          <w:spacing w:val="13"/>
          <w:kern w:val="0"/>
          <w:sz w:val="32"/>
          <w:szCs w:val="32"/>
          <w:lang w:val="en-US" w:eastAsia="zh-CN"/>
        </w:rPr>
        <w:t>生产安全事故</w:t>
      </w:r>
      <w:r>
        <w:rPr>
          <w:rFonts w:hint="default" w:ascii="仿宋_GB2312" w:hAnsi="仿宋_GB2312" w:eastAsia="仿宋_GB2312" w:cs="仿宋_GB2312"/>
          <w:b w:val="0"/>
          <w:bCs w:val="0"/>
          <w:snapToGrid w:val="0"/>
          <w:color w:val="auto"/>
          <w:spacing w:val="13"/>
          <w:kern w:val="0"/>
          <w:sz w:val="32"/>
          <w:szCs w:val="32"/>
          <w:lang w:val="en-US" w:eastAsia="zh-CN"/>
        </w:rPr>
        <w:t>，生产安全事故起数和死亡人数较“十四五”末持续下降，重点行业领域本质安全水平明显提升，全民安全意识和应急</w:t>
      </w:r>
      <w:r>
        <w:rPr>
          <w:rFonts w:hint="eastAsia" w:ascii="仿宋_GB2312" w:hAnsi="仿宋_GB2312" w:eastAsia="仿宋_GB2312" w:cs="仿宋_GB2312"/>
          <w:b w:val="0"/>
          <w:bCs w:val="0"/>
          <w:snapToGrid w:val="0"/>
          <w:color w:val="auto"/>
          <w:spacing w:val="13"/>
          <w:kern w:val="0"/>
          <w:sz w:val="32"/>
          <w:szCs w:val="32"/>
          <w:lang w:val="en-US" w:eastAsia="zh-CN"/>
        </w:rPr>
        <w:t>处置</w:t>
      </w:r>
      <w:r>
        <w:rPr>
          <w:rFonts w:hint="default" w:ascii="仿宋_GB2312" w:hAnsi="仿宋_GB2312" w:eastAsia="仿宋_GB2312" w:cs="仿宋_GB2312"/>
          <w:b w:val="0"/>
          <w:bCs w:val="0"/>
          <w:snapToGrid w:val="0"/>
          <w:color w:val="auto"/>
          <w:spacing w:val="13"/>
          <w:kern w:val="0"/>
          <w:sz w:val="32"/>
          <w:szCs w:val="32"/>
          <w:lang w:val="en-US" w:eastAsia="zh-CN"/>
        </w:rPr>
        <w:t>能力全面增强，全县安全生产形势实现持续稳定向好。</w:t>
      </w:r>
    </w:p>
    <w:p w14:paraId="7C73ABEB">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default"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《墨玉县安全生产“十五五”实施方案》目标指标表</w:t>
      </w:r>
    </w:p>
    <w:tbl>
      <w:tblPr>
        <w:tblStyle w:val="49"/>
        <w:tblW w:w="523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03"/>
        <w:gridCol w:w="895"/>
        <w:gridCol w:w="3737"/>
        <w:gridCol w:w="1379"/>
        <w:gridCol w:w="1271"/>
        <w:gridCol w:w="1390"/>
      </w:tblGrid>
      <w:tr w14:paraId="1CF15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7" w:hRule="atLeast"/>
          <w:tblHeader/>
          <w:jc w:val="center"/>
        </w:trPr>
        <w:tc>
          <w:tcPr>
            <w:tcW w:w="325" w:type="pct"/>
            <w:tcBorders>
              <w:top w:val="single" w:color="auto" w:sz="4" w:space="0"/>
              <w:left w:val="single" w:color="auto" w:sz="4" w:space="0"/>
              <w:bottom w:val="single" w:color="auto" w:sz="4" w:space="0"/>
              <w:right w:val="single" w:color="auto" w:sz="4" w:space="0"/>
            </w:tcBorders>
            <w:vAlign w:val="center"/>
          </w:tcPr>
          <w:p w14:paraId="749B97B0">
            <w:pPr>
              <w:widowControl/>
              <w:kinsoku w:val="0"/>
              <w:autoSpaceDE w:val="0"/>
              <w:autoSpaceDN w:val="0"/>
              <w:snapToGrid w:val="0"/>
              <w:spacing w:before="65" w:line="240" w:lineRule="auto"/>
              <w:ind w:left="0" w:leftChars="0" w:right="0" w:rightChars="0" w:firstLine="0" w:firstLineChars="0"/>
              <w:jc w:val="center"/>
              <w:textAlignment w:val="baseline"/>
              <w:rPr>
                <w:rFonts w:hint="eastAsia" w:ascii="方正仿宋_GB2312" w:hAnsi="方正仿宋_GB2312" w:eastAsia="方正仿宋_GB2312" w:cs="方正仿宋_GB2312"/>
                <w:b/>
                <w:snapToGrid w:val="0"/>
                <w:color w:val="auto"/>
                <w:spacing w:val="0"/>
                <w:kern w:val="0"/>
                <w:sz w:val="28"/>
                <w:szCs w:val="28"/>
                <w:lang w:eastAsia="en-US"/>
              </w:rPr>
            </w:pPr>
            <w:r>
              <w:rPr>
                <w:rFonts w:hint="eastAsia" w:ascii="方正仿宋_GB2312" w:hAnsi="方正仿宋_GB2312" w:eastAsia="方正仿宋_GB2312" w:cs="方正仿宋_GB2312"/>
                <w:b/>
                <w:bCs/>
                <w:snapToGrid w:val="0"/>
                <w:color w:val="auto"/>
                <w:spacing w:val="-1"/>
                <w:kern w:val="0"/>
                <w:sz w:val="28"/>
                <w:szCs w:val="28"/>
                <w:lang w:eastAsia="en-US"/>
              </w:rPr>
              <w:t>分类</w:t>
            </w:r>
          </w:p>
        </w:tc>
        <w:tc>
          <w:tcPr>
            <w:tcW w:w="482" w:type="pct"/>
            <w:tcBorders>
              <w:top w:val="single" w:color="auto" w:sz="4" w:space="0"/>
              <w:left w:val="single" w:color="auto" w:sz="4" w:space="0"/>
              <w:bottom w:val="single" w:color="auto" w:sz="4" w:space="0"/>
              <w:right w:val="single" w:color="auto" w:sz="4" w:space="0"/>
            </w:tcBorders>
            <w:vAlign w:val="center"/>
          </w:tcPr>
          <w:p w14:paraId="0224560E">
            <w:pPr>
              <w:widowControl/>
              <w:kinsoku w:val="0"/>
              <w:autoSpaceDE w:val="0"/>
              <w:autoSpaceDN w:val="0"/>
              <w:snapToGrid w:val="0"/>
              <w:spacing w:before="65" w:line="240" w:lineRule="auto"/>
              <w:ind w:left="0" w:leftChars="0" w:right="0" w:rightChars="0" w:firstLine="0" w:firstLineChars="0"/>
              <w:jc w:val="center"/>
              <w:textAlignment w:val="baseline"/>
              <w:rPr>
                <w:rFonts w:hint="default" w:ascii="方正仿宋_GB2312" w:hAnsi="方正仿宋_GB2312" w:eastAsia="方正仿宋_GB2312" w:cs="方正仿宋_GB2312"/>
                <w:b/>
                <w:snapToGrid w:val="0"/>
                <w:color w:val="auto"/>
                <w:spacing w:val="0"/>
                <w:kern w:val="0"/>
                <w:sz w:val="28"/>
                <w:szCs w:val="28"/>
                <w:lang w:val="en-US" w:eastAsia="zh-CN"/>
              </w:rPr>
            </w:pPr>
            <w:r>
              <w:rPr>
                <w:rFonts w:hint="eastAsia" w:ascii="方正仿宋_GB2312" w:hAnsi="方正仿宋_GB2312" w:eastAsia="方正仿宋_GB2312" w:cs="方正仿宋_GB2312"/>
                <w:b/>
                <w:bCs/>
                <w:snapToGrid w:val="0"/>
                <w:color w:val="auto"/>
                <w:spacing w:val="-1"/>
                <w:kern w:val="0"/>
                <w:sz w:val="28"/>
                <w:szCs w:val="28"/>
                <w:lang w:val="en-US" w:eastAsia="zh-CN"/>
              </w:rPr>
              <w:t>序号</w:t>
            </w:r>
          </w:p>
        </w:tc>
        <w:tc>
          <w:tcPr>
            <w:tcW w:w="2013" w:type="pct"/>
            <w:tcBorders>
              <w:top w:val="single" w:color="auto" w:sz="4" w:space="0"/>
              <w:left w:val="single" w:color="auto" w:sz="4" w:space="0"/>
              <w:bottom w:val="single" w:color="auto" w:sz="4" w:space="0"/>
              <w:right w:val="single" w:color="auto" w:sz="4" w:space="0"/>
            </w:tcBorders>
            <w:vAlign w:val="center"/>
          </w:tcPr>
          <w:p w14:paraId="0A010D5C">
            <w:pPr>
              <w:widowControl/>
              <w:kinsoku w:val="0"/>
              <w:autoSpaceDE w:val="0"/>
              <w:autoSpaceDN w:val="0"/>
              <w:snapToGrid w:val="0"/>
              <w:spacing w:before="65" w:line="240" w:lineRule="auto"/>
              <w:ind w:left="0" w:leftChars="0" w:right="0" w:rightChars="0" w:firstLine="0" w:firstLineChars="0"/>
              <w:jc w:val="center"/>
              <w:textAlignment w:val="baseline"/>
              <w:rPr>
                <w:rFonts w:hint="eastAsia" w:ascii="方正仿宋_GB2312" w:hAnsi="方正仿宋_GB2312" w:eastAsia="方正仿宋_GB2312" w:cs="方正仿宋_GB2312"/>
                <w:b/>
                <w:snapToGrid w:val="0"/>
                <w:color w:val="auto"/>
                <w:spacing w:val="0"/>
                <w:kern w:val="0"/>
                <w:sz w:val="28"/>
                <w:szCs w:val="28"/>
                <w:lang w:eastAsia="en-US"/>
              </w:rPr>
            </w:pPr>
            <w:r>
              <w:rPr>
                <w:rFonts w:hint="eastAsia" w:ascii="方正仿宋_GB2312" w:hAnsi="方正仿宋_GB2312" w:eastAsia="方正仿宋_GB2312" w:cs="方正仿宋_GB2312"/>
                <w:b/>
                <w:bCs/>
                <w:snapToGrid w:val="0"/>
                <w:color w:val="auto"/>
                <w:spacing w:val="5"/>
                <w:kern w:val="0"/>
                <w:sz w:val="28"/>
                <w:szCs w:val="28"/>
                <w:lang w:eastAsia="en-US"/>
              </w:rPr>
              <w:t>指标名称</w:t>
            </w:r>
          </w:p>
        </w:tc>
        <w:tc>
          <w:tcPr>
            <w:tcW w:w="743" w:type="pct"/>
            <w:tcBorders>
              <w:top w:val="single" w:color="auto" w:sz="4" w:space="0"/>
              <w:left w:val="single" w:color="auto" w:sz="4" w:space="0"/>
              <w:bottom w:val="single" w:color="auto" w:sz="4" w:space="0"/>
              <w:right w:val="single" w:color="auto" w:sz="4" w:space="0"/>
            </w:tcBorders>
            <w:vAlign w:val="center"/>
          </w:tcPr>
          <w:p w14:paraId="06D68AAB">
            <w:pPr>
              <w:widowControl/>
              <w:kinsoku w:val="0"/>
              <w:autoSpaceDE w:val="0"/>
              <w:autoSpaceDN w:val="0"/>
              <w:snapToGrid w:val="0"/>
              <w:spacing w:before="129" w:line="240" w:lineRule="auto"/>
              <w:ind w:left="0" w:leftChars="0" w:right="0" w:rightChars="0" w:firstLine="0" w:firstLineChars="0"/>
              <w:jc w:val="center"/>
              <w:textAlignment w:val="baseline"/>
              <w:rPr>
                <w:rFonts w:hint="eastAsia" w:ascii="方正仿宋_GB2312" w:hAnsi="方正仿宋_GB2312" w:eastAsia="方正仿宋_GB2312" w:cs="方正仿宋_GB2312"/>
                <w:b/>
                <w:snapToGrid w:val="0"/>
                <w:color w:val="auto"/>
                <w:spacing w:val="0"/>
                <w:kern w:val="0"/>
                <w:sz w:val="28"/>
                <w:szCs w:val="28"/>
                <w:lang w:val="en-US" w:eastAsia="zh-CN"/>
              </w:rPr>
            </w:pPr>
            <w:r>
              <w:rPr>
                <w:rFonts w:hint="eastAsia" w:ascii="方正仿宋_GB2312" w:hAnsi="方正仿宋_GB2312" w:eastAsia="方正仿宋_GB2312" w:cs="方正仿宋_GB2312"/>
                <w:b/>
                <w:snapToGrid w:val="0"/>
                <w:color w:val="auto"/>
                <w:spacing w:val="0"/>
                <w:kern w:val="0"/>
                <w:sz w:val="28"/>
                <w:szCs w:val="28"/>
                <w:lang w:val="en-US" w:eastAsia="zh-CN"/>
              </w:rPr>
              <w:t>目标值</w:t>
            </w:r>
          </w:p>
        </w:tc>
        <w:tc>
          <w:tcPr>
            <w:tcW w:w="685" w:type="pct"/>
            <w:tcBorders>
              <w:top w:val="single" w:color="auto" w:sz="4" w:space="0"/>
              <w:left w:val="single" w:color="auto" w:sz="4" w:space="0"/>
              <w:bottom w:val="single" w:color="auto" w:sz="4" w:space="0"/>
              <w:right w:val="single" w:color="auto" w:sz="4" w:space="0"/>
            </w:tcBorders>
            <w:vAlign w:val="center"/>
          </w:tcPr>
          <w:p w14:paraId="54512E90">
            <w:pPr>
              <w:widowControl/>
              <w:kinsoku w:val="0"/>
              <w:autoSpaceDE w:val="0"/>
              <w:autoSpaceDN w:val="0"/>
              <w:snapToGrid w:val="0"/>
              <w:spacing w:before="89" w:line="240" w:lineRule="auto"/>
              <w:ind w:left="0" w:leftChars="0" w:right="0" w:rightChars="0" w:firstLine="0" w:firstLineChars="0"/>
              <w:jc w:val="center"/>
              <w:textAlignment w:val="baseline"/>
              <w:rPr>
                <w:rFonts w:hint="eastAsia" w:ascii="方正仿宋_GB2312" w:hAnsi="方正仿宋_GB2312" w:eastAsia="方正仿宋_GB2312" w:cs="方正仿宋_GB2312"/>
                <w:b/>
                <w:snapToGrid w:val="0"/>
                <w:color w:val="auto"/>
                <w:spacing w:val="0"/>
                <w:kern w:val="0"/>
                <w:sz w:val="28"/>
                <w:szCs w:val="28"/>
                <w:lang w:eastAsia="zh-CN"/>
              </w:rPr>
            </w:pPr>
            <w:r>
              <w:rPr>
                <w:rFonts w:hint="eastAsia" w:ascii="方正仿宋_GB2312" w:hAnsi="方正仿宋_GB2312" w:eastAsia="方正仿宋_GB2312" w:cs="方正仿宋_GB2312"/>
                <w:b/>
                <w:bCs/>
                <w:snapToGrid w:val="0"/>
                <w:color w:val="auto"/>
                <w:spacing w:val="4"/>
                <w:kern w:val="0"/>
                <w:sz w:val="28"/>
                <w:szCs w:val="28"/>
                <w:lang w:val="en-US" w:eastAsia="zh-CN"/>
              </w:rPr>
              <w:t>属性</w:t>
            </w:r>
          </w:p>
        </w:tc>
        <w:tc>
          <w:tcPr>
            <w:tcW w:w="749" w:type="pct"/>
            <w:tcBorders>
              <w:top w:val="single" w:color="auto" w:sz="4" w:space="0"/>
              <w:left w:val="single" w:color="auto" w:sz="4" w:space="0"/>
              <w:bottom w:val="single" w:color="auto" w:sz="4" w:space="0"/>
              <w:right w:val="single" w:color="auto" w:sz="4" w:space="0"/>
            </w:tcBorders>
            <w:vAlign w:val="center"/>
          </w:tcPr>
          <w:p w14:paraId="4398A501">
            <w:pPr>
              <w:widowControl/>
              <w:kinsoku w:val="0"/>
              <w:autoSpaceDE w:val="0"/>
              <w:autoSpaceDN w:val="0"/>
              <w:snapToGrid w:val="0"/>
              <w:spacing w:before="89" w:line="240" w:lineRule="auto"/>
              <w:ind w:left="0" w:leftChars="0" w:right="0" w:rightChars="0" w:firstLine="0" w:firstLineChars="0"/>
              <w:jc w:val="center"/>
              <w:textAlignment w:val="baseline"/>
              <w:rPr>
                <w:rFonts w:hint="default" w:ascii="方正仿宋_GB2312" w:hAnsi="方正仿宋_GB2312" w:eastAsia="方正仿宋_GB2312" w:cs="方正仿宋_GB2312"/>
                <w:b/>
                <w:bCs/>
                <w:snapToGrid w:val="0"/>
                <w:color w:val="auto"/>
                <w:spacing w:val="4"/>
                <w:kern w:val="0"/>
                <w:sz w:val="28"/>
                <w:szCs w:val="28"/>
                <w:lang w:val="en-US" w:eastAsia="zh-CN"/>
              </w:rPr>
            </w:pPr>
            <w:r>
              <w:rPr>
                <w:rFonts w:hint="eastAsia" w:ascii="方正仿宋_GB2312" w:hAnsi="方正仿宋_GB2312" w:eastAsia="方正仿宋_GB2312" w:cs="方正仿宋_GB2312"/>
                <w:b/>
                <w:bCs/>
                <w:snapToGrid w:val="0"/>
                <w:color w:val="auto"/>
                <w:spacing w:val="4"/>
                <w:kern w:val="0"/>
                <w:sz w:val="28"/>
                <w:szCs w:val="28"/>
                <w:lang w:val="en-US" w:eastAsia="zh-CN"/>
              </w:rPr>
              <w:t>具体数值</w:t>
            </w:r>
          </w:p>
        </w:tc>
      </w:tr>
      <w:tr w14:paraId="7722F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jc w:val="center"/>
        </w:trPr>
        <w:tc>
          <w:tcPr>
            <w:tcW w:w="325" w:type="pct"/>
            <w:vMerge w:val="restart"/>
            <w:tcBorders>
              <w:top w:val="single" w:color="auto" w:sz="4" w:space="0"/>
              <w:left w:val="single" w:color="auto" w:sz="4" w:space="0"/>
              <w:bottom w:val="single" w:color="auto" w:sz="4" w:space="0"/>
              <w:right w:val="single" w:color="auto" w:sz="4" w:space="0"/>
            </w:tcBorders>
            <w:vAlign w:val="center"/>
          </w:tcPr>
          <w:p w14:paraId="69814A72">
            <w:pPr>
              <w:widowControl/>
              <w:kinsoku w:val="0"/>
              <w:autoSpaceDE w:val="0"/>
              <w:autoSpaceDN w:val="0"/>
              <w:snapToGrid w:val="0"/>
              <w:spacing w:before="65" w:line="240" w:lineRule="auto"/>
              <w:ind w:left="0" w:leftChars="0" w:right="0" w:rightChars="0" w:firstLine="0" w:firstLineChars="0"/>
              <w:jc w:val="center"/>
              <w:textAlignment w:val="baseline"/>
              <w:rPr>
                <w:rFonts w:ascii="仿宋" w:hAnsi="仿宋" w:eastAsia="仿宋" w:cs="仿宋"/>
                <w:snapToGrid w:val="0"/>
                <w:color w:val="auto"/>
                <w:spacing w:val="0"/>
                <w:kern w:val="0"/>
                <w:sz w:val="24"/>
                <w:szCs w:val="20"/>
                <w:lang w:eastAsia="en-US"/>
              </w:rPr>
            </w:pPr>
            <w:r>
              <w:rPr>
                <w:rFonts w:ascii="仿宋" w:hAnsi="仿宋" w:eastAsia="仿宋" w:cs="仿宋"/>
                <w:snapToGrid w:val="0"/>
                <w:color w:val="auto"/>
                <w:spacing w:val="0"/>
                <w:kern w:val="0"/>
                <w:sz w:val="24"/>
                <w:szCs w:val="20"/>
                <w:lang w:eastAsia="en-US"/>
              </w:rPr>
              <w:t>安</w:t>
            </w:r>
          </w:p>
          <w:p w14:paraId="6A21906B">
            <w:pPr>
              <w:widowControl/>
              <w:kinsoku w:val="0"/>
              <w:autoSpaceDE w:val="0"/>
              <w:autoSpaceDN w:val="0"/>
              <w:snapToGrid w:val="0"/>
              <w:spacing w:before="65" w:line="240" w:lineRule="auto"/>
              <w:ind w:left="0" w:leftChars="0" w:right="0" w:rightChars="0" w:firstLine="0" w:firstLineChars="0"/>
              <w:jc w:val="center"/>
              <w:textAlignment w:val="baseline"/>
              <w:rPr>
                <w:rFonts w:ascii="仿宋" w:hAnsi="仿宋" w:eastAsia="仿宋" w:cs="仿宋"/>
                <w:snapToGrid w:val="0"/>
                <w:color w:val="auto"/>
                <w:spacing w:val="0"/>
                <w:kern w:val="0"/>
                <w:sz w:val="24"/>
                <w:szCs w:val="20"/>
                <w:lang w:eastAsia="en-US"/>
              </w:rPr>
            </w:pPr>
            <w:r>
              <w:rPr>
                <w:rFonts w:ascii="仿宋" w:hAnsi="仿宋" w:eastAsia="仿宋" w:cs="仿宋"/>
                <w:snapToGrid w:val="0"/>
                <w:color w:val="auto"/>
                <w:spacing w:val="0"/>
                <w:kern w:val="0"/>
                <w:sz w:val="24"/>
                <w:szCs w:val="20"/>
                <w:lang w:eastAsia="en-US"/>
              </w:rPr>
              <w:t>全</w:t>
            </w:r>
          </w:p>
          <w:p w14:paraId="17E59597">
            <w:pPr>
              <w:widowControl/>
              <w:kinsoku w:val="0"/>
              <w:autoSpaceDE w:val="0"/>
              <w:autoSpaceDN w:val="0"/>
              <w:snapToGrid w:val="0"/>
              <w:spacing w:before="65" w:line="240" w:lineRule="auto"/>
              <w:ind w:left="0" w:leftChars="0" w:right="0" w:rightChars="0" w:firstLine="0" w:firstLineChars="0"/>
              <w:jc w:val="center"/>
              <w:textAlignment w:val="baseline"/>
              <w:rPr>
                <w:rFonts w:ascii="仿宋" w:hAnsi="仿宋" w:eastAsia="仿宋" w:cs="仿宋"/>
                <w:snapToGrid w:val="0"/>
                <w:color w:val="auto"/>
                <w:spacing w:val="-5"/>
                <w:kern w:val="0"/>
                <w:sz w:val="24"/>
                <w:szCs w:val="20"/>
                <w:lang w:eastAsia="en-US"/>
              </w:rPr>
            </w:pPr>
            <w:r>
              <w:rPr>
                <w:rFonts w:ascii="仿宋" w:hAnsi="仿宋" w:eastAsia="仿宋" w:cs="仿宋"/>
                <w:snapToGrid w:val="0"/>
                <w:color w:val="auto"/>
                <w:spacing w:val="-5"/>
                <w:kern w:val="0"/>
                <w:sz w:val="24"/>
                <w:szCs w:val="20"/>
                <w:lang w:eastAsia="en-US"/>
              </w:rPr>
              <w:t>生</w:t>
            </w:r>
          </w:p>
          <w:p w14:paraId="25F73BF1">
            <w:pPr>
              <w:widowControl/>
              <w:kinsoku w:val="0"/>
              <w:autoSpaceDE w:val="0"/>
              <w:autoSpaceDN w:val="0"/>
              <w:snapToGrid w:val="0"/>
              <w:spacing w:before="65" w:line="240" w:lineRule="auto"/>
              <w:ind w:left="0" w:leftChars="0" w:right="0" w:rightChars="0" w:firstLine="0" w:firstLineChars="0"/>
              <w:jc w:val="center"/>
              <w:textAlignment w:val="baseline"/>
              <w:rPr>
                <w:rFonts w:ascii="仿宋" w:hAnsi="仿宋" w:eastAsia="仿宋" w:cs="仿宋"/>
                <w:snapToGrid w:val="0"/>
                <w:color w:val="auto"/>
                <w:spacing w:val="0"/>
                <w:kern w:val="0"/>
                <w:sz w:val="24"/>
                <w:szCs w:val="20"/>
                <w:lang w:eastAsia="en-US"/>
              </w:rPr>
            </w:pPr>
            <w:r>
              <w:rPr>
                <w:rFonts w:ascii="仿宋" w:hAnsi="仿宋" w:eastAsia="仿宋" w:cs="仿宋"/>
                <w:snapToGrid w:val="0"/>
                <w:color w:val="auto"/>
                <w:spacing w:val="-5"/>
                <w:kern w:val="0"/>
                <w:sz w:val="24"/>
                <w:szCs w:val="20"/>
                <w:lang w:eastAsia="en-US"/>
              </w:rPr>
              <w:t>产</w:t>
            </w:r>
          </w:p>
        </w:tc>
        <w:tc>
          <w:tcPr>
            <w:tcW w:w="482" w:type="pct"/>
            <w:tcBorders>
              <w:top w:val="single" w:color="auto" w:sz="4" w:space="0"/>
              <w:left w:val="single" w:color="auto" w:sz="4" w:space="0"/>
              <w:bottom w:val="single" w:color="auto" w:sz="4" w:space="0"/>
              <w:right w:val="single" w:color="auto" w:sz="4" w:space="0"/>
            </w:tcBorders>
            <w:vAlign w:val="center"/>
          </w:tcPr>
          <w:p w14:paraId="4D5104E7">
            <w:pPr>
              <w:widowControl/>
              <w:kinsoku w:val="0"/>
              <w:autoSpaceDE w:val="0"/>
              <w:autoSpaceDN w:val="0"/>
              <w:snapToGrid w:val="0"/>
              <w:spacing w:before="58" w:line="240" w:lineRule="auto"/>
              <w:ind w:left="0" w:leftChars="0" w:right="0" w:rightChars="0" w:firstLine="0" w:firstLineChars="0"/>
              <w:jc w:val="center"/>
              <w:textAlignment w:val="baseline"/>
              <w:rPr>
                <w:rFonts w:hint="default" w:ascii="Times New Roman" w:hAnsi="Times New Roman" w:eastAsia="仿宋" w:cs="Times New Roman"/>
                <w:snapToGrid w:val="0"/>
                <w:color w:val="auto"/>
                <w:spacing w:val="0"/>
                <w:kern w:val="0"/>
                <w:sz w:val="24"/>
                <w:szCs w:val="24"/>
                <w:lang w:eastAsia="en-US"/>
              </w:rPr>
            </w:pPr>
            <w:r>
              <w:rPr>
                <w:rFonts w:hint="default" w:ascii="Times New Roman" w:hAnsi="Times New Roman" w:eastAsia="仿宋" w:cs="Times New Roman"/>
                <w:snapToGrid w:val="0"/>
                <w:color w:val="auto"/>
                <w:spacing w:val="0"/>
                <w:kern w:val="0"/>
                <w:sz w:val="24"/>
                <w:szCs w:val="24"/>
                <w:lang w:eastAsia="en-US"/>
              </w:rPr>
              <w:t>1</w:t>
            </w:r>
          </w:p>
        </w:tc>
        <w:tc>
          <w:tcPr>
            <w:tcW w:w="2013" w:type="pct"/>
            <w:tcBorders>
              <w:top w:val="single" w:color="auto" w:sz="4" w:space="0"/>
              <w:left w:val="single" w:color="auto" w:sz="4" w:space="0"/>
              <w:bottom w:val="single" w:color="auto" w:sz="4" w:space="0"/>
              <w:right w:val="single" w:color="auto" w:sz="4" w:space="0"/>
            </w:tcBorders>
            <w:vAlign w:val="center"/>
          </w:tcPr>
          <w:p w14:paraId="6395256C">
            <w:pPr>
              <w:widowControl/>
              <w:kinsoku w:val="0"/>
              <w:autoSpaceDE w:val="0"/>
              <w:autoSpaceDN w:val="0"/>
              <w:snapToGrid w:val="0"/>
              <w:spacing w:before="74" w:line="240" w:lineRule="auto"/>
              <w:ind w:left="0" w:leftChars="0" w:right="0" w:rightChars="0" w:firstLine="0" w:firstLineChars="0"/>
              <w:jc w:val="both"/>
              <w:textAlignment w:val="baseline"/>
              <w:rPr>
                <w:rFonts w:hint="eastAsia" w:ascii="仿宋" w:hAnsi="仿宋" w:eastAsia="仿宋" w:cs="仿宋"/>
                <w:snapToGrid w:val="0"/>
                <w:color w:val="auto"/>
                <w:spacing w:val="0"/>
                <w:kern w:val="0"/>
                <w:sz w:val="24"/>
                <w:szCs w:val="24"/>
                <w:lang w:eastAsia="en-US"/>
              </w:rPr>
            </w:pPr>
            <w:r>
              <w:rPr>
                <w:rFonts w:hint="eastAsia" w:ascii="仿宋" w:hAnsi="仿宋" w:eastAsia="仿宋" w:cs="仿宋"/>
                <w:snapToGrid w:val="0"/>
                <w:color w:val="auto"/>
                <w:spacing w:val="-3"/>
                <w:kern w:val="0"/>
                <w:sz w:val="24"/>
                <w:szCs w:val="24"/>
                <w:lang w:eastAsia="en-US"/>
              </w:rPr>
              <w:t>生产安全事故死亡人数</w:t>
            </w:r>
          </w:p>
        </w:tc>
        <w:tc>
          <w:tcPr>
            <w:tcW w:w="743" w:type="pct"/>
            <w:tcBorders>
              <w:top w:val="single" w:color="auto" w:sz="4" w:space="0"/>
              <w:left w:val="single" w:color="auto" w:sz="4" w:space="0"/>
              <w:bottom w:val="single" w:color="auto" w:sz="4" w:space="0"/>
              <w:right w:val="single" w:color="auto" w:sz="4" w:space="0"/>
            </w:tcBorders>
            <w:vAlign w:val="center"/>
          </w:tcPr>
          <w:p w14:paraId="7A959CAF">
            <w:pPr>
              <w:widowControl/>
              <w:kinsoku w:val="0"/>
              <w:autoSpaceDE w:val="0"/>
              <w:autoSpaceDN w:val="0"/>
              <w:snapToGrid w:val="0"/>
              <w:spacing w:before="58" w:line="240" w:lineRule="auto"/>
              <w:ind w:left="0" w:leftChars="0" w:right="0" w:rightChars="0" w:firstLine="0" w:firstLineChars="0"/>
              <w:jc w:val="center"/>
              <w:textAlignment w:val="baseline"/>
              <w:rPr>
                <w:rFonts w:hint="eastAsia" w:ascii="仿宋" w:hAnsi="仿宋" w:eastAsia="仿宋" w:cs="仿宋"/>
                <w:snapToGrid w:val="0"/>
                <w:color w:val="auto"/>
                <w:spacing w:val="0"/>
                <w:kern w:val="0"/>
                <w:sz w:val="24"/>
                <w:szCs w:val="24"/>
                <w:lang w:val="en-US" w:eastAsia="zh-CN"/>
              </w:rPr>
            </w:pPr>
            <w:r>
              <w:rPr>
                <w:rFonts w:hint="eastAsia" w:ascii="仿宋" w:hAnsi="仿宋" w:eastAsia="仿宋" w:cs="仿宋"/>
                <w:snapToGrid w:val="0"/>
                <w:color w:val="auto"/>
                <w:spacing w:val="0"/>
                <w:kern w:val="0"/>
                <w:sz w:val="24"/>
                <w:szCs w:val="24"/>
                <w:lang w:val="en-US" w:eastAsia="zh-CN"/>
              </w:rPr>
              <w:t>下降</w:t>
            </w:r>
            <w:r>
              <w:rPr>
                <w:rFonts w:hint="eastAsia" w:ascii="Times New Roman" w:hAnsi="Times New Roman" w:eastAsia="方正仿宋_GB2312" w:cs="Times New Roman"/>
                <w:snapToGrid w:val="0"/>
                <w:color w:val="auto"/>
                <w:spacing w:val="13"/>
                <w:kern w:val="0"/>
                <w:sz w:val="24"/>
                <w:szCs w:val="24"/>
                <w:lang w:val="en-US" w:eastAsia="zh-CN"/>
              </w:rPr>
              <w:t>7%</w:t>
            </w:r>
          </w:p>
        </w:tc>
        <w:tc>
          <w:tcPr>
            <w:tcW w:w="685" w:type="pct"/>
            <w:tcBorders>
              <w:top w:val="single" w:color="auto" w:sz="4" w:space="0"/>
              <w:left w:val="single" w:color="auto" w:sz="4" w:space="0"/>
              <w:bottom w:val="single" w:color="auto" w:sz="4" w:space="0"/>
              <w:right w:val="single" w:color="auto" w:sz="4" w:space="0"/>
            </w:tcBorders>
            <w:vAlign w:val="center"/>
          </w:tcPr>
          <w:p w14:paraId="50FC15F9">
            <w:pPr>
              <w:widowControl/>
              <w:kinsoku w:val="0"/>
              <w:autoSpaceDE w:val="0"/>
              <w:autoSpaceDN w:val="0"/>
              <w:snapToGrid w:val="0"/>
              <w:spacing w:before="153" w:line="240" w:lineRule="auto"/>
              <w:ind w:left="0" w:leftChars="0" w:right="0" w:rightChars="0" w:firstLine="0" w:firstLineChars="0"/>
              <w:jc w:val="center"/>
              <w:textAlignment w:val="baseline"/>
              <w:rPr>
                <w:rFonts w:hint="eastAsia" w:ascii="仿宋" w:hAnsi="仿宋" w:eastAsia="仿宋" w:cs="仿宋"/>
                <w:snapToGrid w:val="0"/>
                <w:color w:val="auto"/>
                <w:spacing w:val="0"/>
                <w:kern w:val="0"/>
                <w:sz w:val="24"/>
                <w:szCs w:val="24"/>
                <w:lang w:val="en-US" w:eastAsia="zh-CN"/>
              </w:rPr>
            </w:pPr>
            <w:r>
              <w:rPr>
                <w:rFonts w:hint="eastAsia" w:ascii="仿宋" w:hAnsi="仿宋" w:eastAsia="仿宋" w:cs="仿宋"/>
                <w:snapToGrid w:val="0"/>
                <w:color w:val="auto"/>
                <w:spacing w:val="0"/>
                <w:kern w:val="0"/>
                <w:sz w:val="24"/>
                <w:szCs w:val="24"/>
                <w:lang w:val="en-US" w:eastAsia="zh-CN"/>
              </w:rPr>
              <w:t>预期值</w:t>
            </w:r>
          </w:p>
        </w:tc>
        <w:tc>
          <w:tcPr>
            <w:tcW w:w="749" w:type="pct"/>
            <w:tcBorders>
              <w:top w:val="single" w:color="auto" w:sz="4" w:space="0"/>
              <w:left w:val="single" w:color="auto" w:sz="4" w:space="0"/>
              <w:bottom w:val="single" w:color="auto" w:sz="4" w:space="0"/>
              <w:right w:val="single" w:color="auto" w:sz="4" w:space="0"/>
            </w:tcBorders>
            <w:vAlign w:val="center"/>
          </w:tcPr>
          <w:p w14:paraId="312FC99C">
            <w:pPr>
              <w:widowControl/>
              <w:kinsoku w:val="0"/>
              <w:autoSpaceDE w:val="0"/>
              <w:autoSpaceDN w:val="0"/>
              <w:snapToGrid w:val="0"/>
              <w:spacing w:before="153" w:line="240" w:lineRule="auto"/>
              <w:ind w:left="0" w:leftChars="0" w:right="0" w:rightChars="0" w:firstLine="0" w:firstLineChars="0"/>
              <w:jc w:val="center"/>
              <w:textAlignment w:val="baseline"/>
              <w:rPr>
                <w:rFonts w:hint="eastAsia" w:ascii="仿宋" w:hAnsi="仿宋" w:eastAsia="仿宋" w:cs="仿宋"/>
                <w:snapToGrid w:val="0"/>
                <w:color w:val="auto"/>
                <w:spacing w:val="0"/>
                <w:kern w:val="0"/>
                <w:sz w:val="24"/>
                <w:szCs w:val="24"/>
                <w:lang w:val="en-US" w:eastAsia="zh-CN"/>
              </w:rPr>
            </w:pPr>
            <w:r>
              <w:rPr>
                <w:rFonts w:hint="default" w:ascii="方正仿宋_GB2312" w:hAnsi="方正仿宋_GB2312" w:eastAsia="方正仿宋_GB2312" w:cs="方正仿宋_GB2312"/>
                <w:color w:val="auto"/>
                <w:position w:val="1"/>
                <w:sz w:val="24"/>
                <w:szCs w:val="24"/>
                <w:lang w:val="en-US" w:eastAsia="zh-CN"/>
              </w:rPr>
              <w:t>≤</w:t>
            </w:r>
            <w:r>
              <w:rPr>
                <w:rFonts w:hint="eastAsia" w:ascii="Times New Roman" w:hAnsi="Times New Roman" w:eastAsia="方正仿宋_GB2312" w:cs="Times New Roman"/>
                <w:snapToGrid w:val="0"/>
                <w:color w:val="auto"/>
                <w:spacing w:val="13"/>
                <w:kern w:val="0"/>
                <w:sz w:val="24"/>
                <w:szCs w:val="24"/>
                <w:lang w:val="en-US" w:eastAsia="zh-CN"/>
              </w:rPr>
              <w:t>38</w:t>
            </w:r>
            <w:r>
              <w:rPr>
                <w:rFonts w:hint="eastAsia" w:ascii="仿宋" w:hAnsi="仿宋" w:eastAsia="仿宋" w:cs="仿宋"/>
                <w:snapToGrid w:val="0"/>
                <w:color w:val="auto"/>
                <w:spacing w:val="0"/>
                <w:kern w:val="0"/>
                <w:sz w:val="24"/>
                <w:szCs w:val="24"/>
                <w:lang w:val="en-US" w:eastAsia="zh-CN"/>
              </w:rPr>
              <w:t>人</w:t>
            </w:r>
          </w:p>
        </w:tc>
      </w:tr>
      <w:tr w14:paraId="38A44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jc w:val="center"/>
        </w:trPr>
        <w:tc>
          <w:tcPr>
            <w:tcW w:w="325" w:type="pct"/>
            <w:vMerge w:val="continue"/>
            <w:tcBorders>
              <w:left w:val="single" w:color="auto" w:sz="4" w:space="0"/>
              <w:right w:val="single" w:color="auto" w:sz="4" w:space="0"/>
            </w:tcBorders>
            <w:vAlign w:val="center"/>
          </w:tcPr>
          <w:p w14:paraId="6A74D0D3">
            <w:pPr>
              <w:widowControl/>
              <w:kinsoku w:val="0"/>
              <w:autoSpaceDE w:val="0"/>
              <w:autoSpaceDN w:val="0"/>
              <w:snapToGrid w:val="0"/>
              <w:spacing w:before="65" w:line="240" w:lineRule="auto"/>
              <w:ind w:left="0" w:leftChars="0" w:right="0" w:rightChars="0" w:firstLine="0" w:firstLineChars="0"/>
              <w:jc w:val="center"/>
              <w:textAlignment w:val="baseline"/>
              <w:rPr>
                <w:rFonts w:ascii="仿宋" w:hAnsi="仿宋" w:eastAsia="仿宋" w:cs="仿宋"/>
                <w:snapToGrid w:val="0"/>
                <w:color w:val="auto"/>
                <w:spacing w:val="-5"/>
                <w:kern w:val="0"/>
                <w:sz w:val="24"/>
                <w:szCs w:val="20"/>
                <w:lang w:eastAsia="en-US"/>
              </w:rPr>
            </w:pPr>
          </w:p>
        </w:tc>
        <w:tc>
          <w:tcPr>
            <w:tcW w:w="482" w:type="pct"/>
            <w:tcBorders>
              <w:top w:val="single" w:color="auto" w:sz="4" w:space="0"/>
              <w:left w:val="single" w:color="auto" w:sz="4" w:space="0"/>
              <w:bottom w:val="single" w:color="auto" w:sz="4" w:space="0"/>
              <w:right w:val="single" w:color="auto" w:sz="4" w:space="0"/>
            </w:tcBorders>
            <w:vAlign w:val="center"/>
          </w:tcPr>
          <w:p w14:paraId="63EB4A98">
            <w:pPr>
              <w:widowControl/>
              <w:kinsoku w:val="0"/>
              <w:autoSpaceDE w:val="0"/>
              <w:autoSpaceDN w:val="0"/>
              <w:snapToGrid w:val="0"/>
              <w:spacing w:before="58" w:line="240" w:lineRule="auto"/>
              <w:ind w:left="0" w:leftChars="0" w:right="0" w:rightChars="0" w:firstLine="0" w:firstLineChars="0"/>
              <w:jc w:val="center"/>
              <w:textAlignment w:val="baseline"/>
              <w:rPr>
                <w:rFonts w:hint="eastAsia" w:ascii="Times New Roman" w:hAnsi="Times New Roman" w:eastAsia="仿宋" w:cs="Times New Roman"/>
                <w:snapToGrid w:val="0"/>
                <w:color w:val="auto"/>
                <w:spacing w:val="0"/>
                <w:kern w:val="0"/>
                <w:sz w:val="24"/>
                <w:szCs w:val="24"/>
                <w:lang w:val="en-US" w:eastAsia="zh-CN"/>
              </w:rPr>
            </w:pPr>
            <w:r>
              <w:rPr>
                <w:rFonts w:hint="eastAsia" w:ascii="Times New Roman" w:hAnsi="Times New Roman" w:cs="Times New Roman"/>
                <w:snapToGrid w:val="0"/>
                <w:color w:val="auto"/>
                <w:spacing w:val="0"/>
                <w:kern w:val="0"/>
                <w:sz w:val="24"/>
                <w:szCs w:val="24"/>
                <w:lang w:val="en-US" w:eastAsia="zh-CN"/>
              </w:rPr>
              <w:t>2</w:t>
            </w:r>
          </w:p>
        </w:tc>
        <w:tc>
          <w:tcPr>
            <w:tcW w:w="2013" w:type="pct"/>
            <w:tcBorders>
              <w:top w:val="single" w:color="auto" w:sz="4" w:space="0"/>
              <w:left w:val="single" w:color="auto" w:sz="4" w:space="0"/>
              <w:bottom w:val="single" w:color="auto" w:sz="4" w:space="0"/>
              <w:right w:val="single" w:color="auto" w:sz="4" w:space="0"/>
            </w:tcBorders>
            <w:shd w:val="clear" w:color="auto" w:fill="auto"/>
            <w:vAlign w:val="center"/>
          </w:tcPr>
          <w:p w14:paraId="106C089D">
            <w:pPr>
              <w:snapToGrid w:val="0"/>
              <w:spacing w:before="74" w:line="240" w:lineRule="auto"/>
              <w:ind w:left="0" w:leftChars="0" w:right="0" w:rightChars="0" w:firstLine="0" w:firstLineChars="0"/>
              <w:jc w:val="left"/>
              <w:rPr>
                <w:rFonts w:hint="eastAsia" w:ascii="仿宋" w:hAnsi="仿宋" w:eastAsia="仿宋" w:cs="仿宋"/>
                <w:color w:val="auto"/>
                <w:spacing w:val="-3"/>
                <w:kern w:val="2"/>
                <w:sz w:val="24"/>
                <w:szCs w:val="24"/>
                <w:lang w:val="en-US" w:eastAsia="en-US" w:bidi="ar-SA"/>
              </w:rPr>
            </w:pPr>
            <w:r>
              <w:rPr>
                <w:rFonts w:hint="eastAsia" w:cs="仿宋"/>
                <w:color w:val="auto"/>
                <w:spacing w:val="-3"/>
                <w:sz w:val="24"/>
                <w:szCs w:val="24"/>
                <w:lang w:val="en-US" w:eastAsia="zh-CN"/>
              </w:rPr>
              <w:t>一般生产安全事故起数</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14:paraId="57067BD7">
            <w:pPr>
              <w:widowControl/>
              <w:kinsoku w:val="0"/>
              <w:autoSpaceDE w:val="0"/>
              <w:autoSpaceDN w:val="0"/>
              <w:snapToGrid w:val="0"/>
              <w:spacing w:before="58" w:line="240" w:lineRule="auto"/>
              <w:ind w:left="0" w:leftChars="0" w:right="0" w:rightChars="0" w:firstLine="0" w:firstLineChars="0"/>
              <w:jc w:val="center"/>
              <w:textAlignment w:val="baseline"/>
              <w:rPr>
                <w:rFonts w:hint="default" w:ascii="Times New Roman" w:hAnsi="Times New Roman" w:eastAsia="方正仿宋_GB2312" w:cs="Times New Roman"/>
                <w:snapToGrid w:val="0"/>
                <w:color w:val="auto"/>
                <w:spacing w:val="13"/>
                <w:kern w:val="0"/>
                <w:sz w:val="24"/>
                <w:szCs w:val="24"/>
                <w:lang w:val="en-US" w:eastAsia="zh-CN" w:bidi="ar-SA"/>
              </w:rPr>
            </w:pPr>
            <w:r>
              <w:rPr>
                <w:rFonts w:hint="eastAsia" w:ascii="仿宋" w:hAnsi="仿宋" w:eastAsia="仿宋" w:cs="仿宋"/>
                <w:snapToGrid w:val="0"/>
                <w:color w:val="auto"/>
                <w:spacing w:val="0"/>
                <w:kern w:val="0"/>
                <w:sz w:val="24"/>
                <w:szCs w:val="24"/>
                <w:lang w:val="en-US" w:eastAsia="zh-CN"/>
              </w:rPr>
              <w:t>下降</w:t>
            </w:r>
            <w:r>
              <w:rPr>
                <w:rFonts w:hint="default" w:ascii="Times New Roman" w:hAnsi="Times New Roman" w:eastAsia="仿宋" w:cs="Times New Roman"/>
                <w:snapToGrid w:val="0"/>
                <w:color w:val="auto"/>
                <w:spacing w:val="0"/>
                <w:kern w:val="0"/>
                <w:sz w:val="24"/>
                <w:szCs w:val="24"/>
                <w:lang w:val="en-US" w:eastAsia="zh-CN"/>
              </w:rPr>
              <w:t>7%</w:t>
            </w:r>
          </w:p>
        </w:tc>
        <w:tc>
          <w:tcPr>
            <w:tcW w:w="685" w:type="pct"/>
            <w:tcBorders>
              <w:top w:val="single" w:color="auto" w:sz="4" w:space="0"/>
              <w:left w:val="single" w:color="auto" w:sz="4" w:space="0"/>
              <w:bottom w:val="single" w:color="auto" w:sz="4" w:space="0"/>
              <w:right w:val="single" w:color="auto" w:sz="4" w:space="0"/>
            </w:tcBorders>
            <w:vAlign w:val="center"/>
          </w:tcPr>
          <w:p w14:paraId="0E3F24F4">
            <w:pPr>
              <w:widowControl/>
              <w:kinsoku w:val="0"/>
              <w:autoSpaceDE w:val="0"/>
              <w:autoSpaceDN w:val="0"/>
              <w:snapToGrid w:val="0"/>
              <w:spacing w:before="153" w:line="240" w:lineRule="auto"/>
              <w:ind w:left="0" w:leftChars="0" w:right="0" w:rightChars="0" w:firstLine="0" w:firstLineChars="0"/>
              <w:jc w:val="center"/>
              <w:textAlignment w:val="baseline"/>
              <w:rPr>
                <w:rFonts w:hint="default" w:ascii="仿宋" w:hAnsi="仿宋" w:eastAsia="仿宋" w:cs="仿宋"/>
                <w:snapToGrid w:val="0"/>
                <w:color w:val="auto"/>
                <w:spacing w:val="0"/>
                <w:kern w:val="0"/>
                <w:sz w:val="24"/>
                <w:szCs w:val="24"/>
                <w:lang w:val="en-US" w:eastAsia="zh-CN"/>
              </w:rPr>
            </w:pPr>
            <w:r>
              <w:rPr>
                <w:rFonts w:hint="eastAsia" w:ascii="仿宋" w:hAnsi="仿宋" w:eastAsia="仿宋" w:cs="仿宋"/>
                <w:snapToGrid w:val="0"/>
                <w:color w:val="auto"/>
                <w:spacing w:val="0"/>
                <w:kern w:val="0"/>
                <w:sz w:val="24"/>
                <w:szCs w:val="24"/>
                <w:lang w:val="en-US" w:eastAsia="zh-CN"/>
              </w:rPr>
              <w:t>预期值</w:t>
            </w:r>
          </w:p>
        </w:tc>
        <w:tc>
          <w:tcPr>
            <w:tcW w:w="749" w:type="pct"/>
            <w:tcBorders>
              <w:top w:val="single" w:color="auto" w:sz="4" w:space="0"/>
              <w:left w:val="single" w:color="auto" w:sz="4" w:space="0"/>
              <w:bottom w:val="single" w:color="auto" w:sz="4" w:space="0"/>
              <w:right w:val="single" w:color="auto" w:sz="4" w:space="0"/>
            </w:tcBorders>
            <w:vAlign w:val="center"/>
          </w:tcPr>
          <w:p w14:paraId="5DF830E8">
            <w:pPr>
              <w:widowControl/>
              <w:kinsoku w:val="0"/>
              <w:autoSpaceDE w:val="0"/>
              <w:autoSpaceDN w:val="0"/>
              <w:snapToGrid w:val="0"/>
              <w:spacing w:before="153" w:line="240" w:lineRule="auto"/>
              <w:ind w:left="0" w:leftChars="0" w:right="0" w:rightChars="0" w:firstLine="0" w:firstLineChars="0"/>
              <w:jc w:val="center"/>
              <w:textAlignment w:val="baseline"/>
              <w:rPr>
                <w:rFonts w:hint="eastAsia" w:ascii="仿宋" w:hAnsi="仿宋" w:eastAsia="仿宋" w:cs="仿宋"/>
                <w:snapToGrid w:val="0"/>
                <w:color w:val="auto"/>
                <w:spacing w:val="0"/>
                <w:kern w:val="0"/>
                <w:sz w:val="24"/>
                <w:szCs w:val="24"/>
                <w:lang w:val="en-US" w:eastAsia="zh-CN"/>
              </w:rPr>
            </w:pPr>
            <w:r>
              <w:rPr>
                <w:rFonts w:hint="default" w:ascii="方正仿宋_GB2312" w:hAnsi="方正仿宋_GB2312" w:eastAsia="方正仿宋_GB2312" w:cs="方正仿宋_GB2312"/>
                <w:color w:val="auto"/>
                <w:position w:val="1"/>
                <w:sz w:val="24"/>
                <w:szCs w:val="24"/>
                <w:lang w:val="en-US" w:eastAsia="zh-CN"/>
              </w:rPr>
              <w:t>≤</w:t>
            </w:r>
            <w:r>
              <w:rPr>
                <w:rFonts w:hint="eastAsia" w:ascii="Times New Roman" w:hAnsi="Times New Roman" w:eastAsia="方正仿宋_GB2312" w:cs="Times New Roman"/>
                <w:snapToGrid w:val="0"/>
                <w:color w:val="auto"/>
                <w:spacing w:val="13"/>
                <w:kern w:val="0"/>
                <w:sz w:val="24"/>
                <w:szCs w:val="24"/>
                <w:lang w:val="en-US" w:eastAsia="zh-CN"/>
              </w:rPr>
              <w:t>62起</w:t>
            </w:r>
          </w:p>
        </w:tc>
      </w:tr>
      <w:tr w14:paraId="76B85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jc w:val="center"/>
        </w:trPr>
        <w:tc>
          <w:tcPr>
            <w:tcW w:w="325" w:type="pct"/>
            <w:vMerge w:val="continue"/>
            <w:tcBorders>
              <w:top w:val="single" w:color="auto" w:sz="4" w:space="0"/>
              <w:left w:val="single" w:color="auto" w:sz="4" w:space="0"/>
              <w:bottom w:val="single" w:color="auto" w:sz="4" w:space="0"/>
              <w:right w:val="single" w:color="auto" w:sz="4" w:space="0"/>
            </w:tcBorders>
            <w:vAlign w:val="center"/>
          </w:tcPr>
          <w:p w14:paraId="02340F8B">
            <w:pPr>
              <w:kinsoku w:val="0"/>
              <w:autoSpaceDE w:val="0"/>
              <w:autoSpaceDN w:val="0"/>
              <w:adjustRightInd w:val="0"/>
              <w:snapToGrid w:val="0"/>
              <w:spacing w:line="240" w:lineRule="auto"/>
              <w:ind w:left="0" w:leftChars="0" w:right="0" w:rightChars="0" w:firstLine="0" w:firstLineChars="0"/>
              <w:jc w:val="center"/>
              <w:textAlignment w:val="baseline"/>
              <w:rPr>
                <w:rFonts w:ascii="仿宋" w:hAnsi="Arial" w:eastAsia="仿宋" w:cs="Arial"/>
                <w:snapToGrid w:val="0"/>
                <w:color w:val="auto"/>
                <w:kern w:val="0"/>
                <w:sz w:val="24"/>
                <w:szCs w:val="21"/>
                <w:lang w:val="en-US" w:eastAsia="en-US" w:bidi="ar-SA"/>
              </w:rPr>
            </w:pPr>
          </w:p>
        </w:tc>
        <w:tc>
          <w:tcPr>
            <w:tcW w:w="482" w:type="pct"/>
            <w:tcBorders>
              <w:top w:val="single" w:color="auto" w:sz="4" w:space="0"/>
              <w:left w:val="single" w:color="auto" w:sz="4" w:space="0"/>
              <w:bottom w:val="single" w:color="auto" w:sz="4" w:space="0"/>
              <w:right w:val="single" w:color="auto" w:sz="4" w:space="0"/>
            </w:tcBorders>
            <w:vAlign w:val="center"/>
          </w:tcPr>
          <w:p w14:paraId="3CA35446">
            <w:pPr>
              <w:widowControl/>
              <w:kinsoku w:val="0"/>
              <w:autoSpaceDE w:val="0"/>
              <w:autoSpaceDN w:val="0"/>
              <w:snapToGrid w:val="0"/>
              <w:spacing w:before="57" w:line="240" w:lineRule="auto"/>
              <w:ind w:left="0" w:leftChars="0" w:right="0" w:rightChars="0" w:firstLine="0" w:firstLineChars="0"/>
              <w:jc w:val="center"/>
              <w:textAlignment w:val="baseline"/>
              <w:rPr>
                <w:rFonts w:hint="eastAsia" w:ascii="Times New Roman" w:hAnsi="Times New Roman" w:eastAsia="仿宋" w:cs="Times New Roman"/>
                <w:snapToGrid w:val="0"/>
                <w:color w:val="auto"/>
                <w:spacing w:val="0"/>
                <w:kern w:val="0"/>
                <w:sz w:val="24"/>
                <w:szCs w:val="24"/>
                <w:lang w:eastAsia="zh-CN"/>
              </w:rPr>
            </w:pPr>
            <w:r>
              <w:rPr>
                <w:rFonts w:hint="eastAsia" w:ascii="Times New Roman" w:hAnsi="Times New Roman" w:cs="Times New Roman"/>
                <w:snapToGrid w:val="0"/>
                <w:color w:val="auto"/>
                <w:spacing w:val="0"/>
                <w:kern w:val="0"/>
                <w:sz w:val="24"/>
                <w:szCs w:val="24"/>
                <w:lang w:val="en-US" w:eastAsia="zh-CN"/>
              </w:rPr>
              <w:t>3</w:t>
            </w:r>
          </w:p>
        </w:tc>
        <w:tc>
          <w:tcPr>
            <w:tcW w:w="2013" w:type="pct"/>
            <w:tcBorders>
              <w:top w:val="single" w:color="auto" w:sz="4" w:space="0"/>
              <w:left w:val="single" w:color="auto" w:sz="4" w:space="0"/>
              <w:bottom w:val="single" w:color="auto" w:sz="4" w:space="0"/>
              <w:right w:val="single" w:color="auto" w:sz="4" w:space="0"/>
            </w:tcBorders>
            <w:vAlign w:val="center"/>
          </w:tcPr>
          <w:p w14:paraId="04C39498">
            <w:pPr>
              <w:widowControl/>
              <w:kinsoku w:val="0"/>
              <w:autoSpaceDE w:val="0"/>
              <w:autoSpaceDN w:val="0"/>
              <w:snapToGrid w:val="0"/>
              <w:spacing w:before="74" w:line="240" w:lineRule="auto"/>
              <w:ind w:left="0" w:leftChars="0" w:right="0" w:rightChars="0" w:firstLine="0" w:firstLineChars="0"/>
              <w:jc w:val="both"/>
              <w:textAlignment w:val="baseline"/>
              <w:rPr>
                <w:rFonts w:hint="eastAsia" w:ascii="仿宋" w:hAnsi="仿宋" w:eastAsia="仿宋" w:cs="仿宋"/>
                <w:snapToGrid w:val="0"/>
                <w:color w:val="auto"/>
                <w:spacing w:val="0"/>
                <w:kern w:val="0"/>
                <w:sz w:val="24"/>
                <w:szCs w:val="24"/>
                <w:lang w:eastAsia="en-US"/>
              </w:rPr>
            </w:pPr>
            <w:r>
              <w:rPr>
                <w:rFonts w:hint="eastAsia" w:cs="仿宋"/>
                <w:color w:val="auto"/>
                <w:spacing w:val="-3"/>
                <w:sz w:val="24"/>
                <w:szCs w:val="24"/>
                <w:lang w:val="en-US" w:eastAsia="zh-CN"/>
              </w:rPr>
              <w:t>较大</w:t>
            </w:r>
            <w:r>
              <w:rPr>
                <w:rFonts w:ascii="仿宋" w:hAnsi="仿宋" w:eastAsia="仿宋" w:cs="仿宋"/>
                <w:color w:val="auto"/>
                <w:spacing w:val="-3"/>
                <w:sz w:val="24"/>
                <w:szCs w:val="24"/>
              </w:rPr>
              <w:t>生产</w:t>
            </w:r>
            <w:r>
              <w:rPr>
                <w:rFonts w:ascii="仿宋" w:hAnsi="仿宋" w:eastAsia="仿宋" w:cs="仿宋"/>
                <w:color w:val="auto"/>
                <w:spacing w:val="-5"/>
                <w:sz w:val="24"/>
                <w:szCs w:val="24"/>
              </w:rPr>
              <w:t>安全事故</w:t>
            </w:r>
            <w:r>
              <w:rPr>
                <w:rFonts w:hint="eastAsia" w:cs="仿宋"/>
                <w:color w:val="auto"/>
                <w:spacing w:val="-5"/>
                <w:sz w:val="24"/>
                <w:szCs w:val="24"/>
                <w:lang w:val="en-US" w:eastAsia="zh-CN"/>
              </w:rPr>
              <w:t>起数</w:t>
            </w:r>
          </w:p>
        </w:tc>
        <w:tc>
          <w:tcPr>
            <w:tcW w:w="743" w:type="pct"/>
            <w:tcBorders>
              <w:top w:val="single" w:color="auto" w:sz="4" w:space="0"/>
              <w:left w:val="single" w:color="auto" w:sz="4" w:space="0"/>
              <w:bottom w:val="single" w:color="auto" w:sz="4" w:space="0"/>
              <w:right w:val="single" w:color="auto" w:sz="4" w:space="0"/>
            </w:tcBorders>
            <w:vAlign w:val="center"/>
          </w:tcPr>
          <w:p w14:paraId="584A9014">
            <w:pPr>
              <w:widowControl/>
              <w:kinsoku w:val="0"/>
              <w:autoSpaceDE w:val="0"/>
              <w:autoSpaceDN w:val="0"/>
              <w:snapToGrid w:val="0"/>
              <w:spacing w:before="57" w:line="240" w:lineRule="auto"/>
              <w:ind w:left="0" w:leftChars="0" w:right="0" w:rightChars="0" w:firstLine="0" w:firstLineChars="0"/>
              <w:jc w:val="center"/>
              <w:textAlignment w:val="baseline"/>
              <w:rPr>
                <w:rFonts w:hint="default" w:ascii="仿宋" w:hAnsi="仿宋" w:eastAsia="仿宋" w:cs="仿宋"/>
                <w:snapToGrid w:val="0"/>
                <w:color w:val="auto"/>
                <w:spacing w:val="0"/>
                <w:kern w:val="0"/>
                <w:sz w:val="24"/>
                <w:szCs w:val="24"/>
                <w:lang w:val="en-US" w:eastAsia="zh-CN"/>
              </w:rPr>
            </w:pPr>
            <w:r>
              <w:rPr>
                <w:rFonts w:hint="default" w:ascii="方正仿宋_GB2312" w:hAnsi="方正仿宋_GB2312" w:eastAsia="方正仿宋_GB2312" w:cs="方正仿宋_GB2312"/>
                <w:color w:val="auto"/>
                <w:position w:val="1"/>
                <w:sz w:val="24"/>
                <w:szCs w:val="24"/>
                <w:lang w:val="en-US" w:eastAsia="zh-CN"/>
              </w:rPr>
              <w:t>≤</w:t>
            </w:r>
            <w:r>
              <w:rPr>
                <w:rFonts w:hint="eastAsia" w:ascii="Times New Roman" w:hAnsi="Times New Roman" w:eastAsia="方正仿宋_GB2312" w:cs="Times New Roman"/>
                <w:snapToGrid w:val="0"/>
                <w:color w:val="auto"/>
                <w:spacing w:val="13"/>
                <w:kern w:val="0"/>
                <w:sz w:val="24"/>
                <w:szCs w:val="24"/>
                <w:lang w:val="en-US" w:eastAsia="zh-CN"/>
              </w:rPr>
              <w:t>1起</w:t>
            </w:r>
          </w:p>
        </w:tc>
        <w:tc>
          <w:tcPr>
            <w:tcW w:w="685" w:type="pct"/>
            <w:tcBorders>
              <w:top w:val="single" w:color="auto" w:sz="4" w:space="0"/>
              <w:left w:val="single" w:color="auto" w:sz="4" w:space="0"/>
              <w:bottom w:val="single" w:color="auto" w:sz="4" w:space="0"/>
              <w:right w:val="single" w:color="auto" w:sz="4" w:space="0"/>
            </w:tcBorders>
            <w:vAlign w:val="center"/>
          </w:tcPr>
          <w:p w14:paraId="334654FA">
            <w:pPr>
              <w:widowControl/>
              <w:kinsoku w:val="0"/>
              <w:autoSpaceDE w:val="0"/>
              <w:autoSpaceDN w:val="0"/>
              <w:snapToGrid w:val="0"/>
              <w:spacing w:before="57" w:line="240" w:lineRule="auto"/>
              <w:ind w:left="0" w:leftChars="0" w:right="0" w:rightChars="0" w:firstLine="0" w:firstLineChars="0"/>
              <w:jc w:val="center"/>
              <w:textAlignment w:val="baseline"/>
              <w:rPr>
                <w:rFonts w:hint="eastAsia" w:ascii="仿宋" w:hAnsi="仿宋" w:eastAsia="仿宋" w:cs="仿宋"/>
                <w:snapToGrid w:val="0"/>
                <w:color w:val="auto"/>
                <w:spacing w:val="0"/>
                <w:kern w:val="0"/>
                <w:sz w:val="24"/>
                <w:szCs w:val="24"/>
                <w:lang w:val="en-US" w:eastAsia="zh-CN"/>
              </w:rPr>
            </w:pPr>
            <w:r>
              <w:rPr>
                <w:rFonts w:hint="eastAsia" w:ascii="仿宋" w:hAnsi="仿宋" w:eastAsia="仿宋" w:cs="仿宋"/>
                <w:snapToGrid w:val="0"/>
                <w:color w:val="auto"/>
                <w:spacing w:val="0"/>
                <w:kern w:val="0"/>
                <w:sz w:val="24"/>
                <w:szCs w:val="24"/>
                <w:lang w:val="en-US" w:eastAsia="zh-CN"/>
              </w:rPr>
              <w:t>约束性</w:t>
            </w:r>
          </w:p>
        </w:tc>
        <w:tc>
          <w:tcPr>
            <w:tcW w:w="749" w:type="pct"/>
            <w:tcBorders>
              <w:top w:val="single" w:color="auto" w:sz="4" w:space="0"/>
              <w:left w:val="single" w:color="auto" w:sz="4" w:space="0"/>
              <w:bottom w:val="single" w:color="auto" w:sz="4" w:space="0"/>
              <w:right w:val="single" w:color="auto" w:sz="4" w:space="0"/>
            </w:tcBorders>
            <w:vAlign w:val="center"/>
          </w:tcPr>
          <w:p w14:paraId="598E3DCF">
            <w:pPr>
              <w:widowControl/>
              <w:kinsoku w:val="0"/>
              <w:autoSpaceDE w:val="0"/>
              <w:autoSpaceDN w:val="0"/>
              <w:snapToGrid w:val="0"/>
              <w:spacing w:before="57" w:line="240" w:lineRule="auto"/>
              <w:ind w:left="0" w:leftChars="0" w:right="0" w:rightChars="0" w:firstLine="0" w:firstLineChars="0"/>
              <w:jc w:val="center"/>
              <w:textAlignment w:val="baseline"/>
              <w:rPr>
                <w:rFonts w:hint="default" w:ascii="仿宋" w:hAnsi="仿宋" w:eastAsia="仿宋" w:cs="仿宋"/>
                <w:snapToGrid w:val="0"/>
                <w:color w:val="auto"/>
                <w:spacing w:val="0"/>
                <w:kern w:val="0"/>
                <w:sz w:val="24"/>
                <w:szCs w:val="24"/>
                <w:lang w:val="en-US" w:eastAsia="zh-CN"/>
              </w:rPr>
            </w:pPr>
            <w:r>
              <w:rPr>
                <w:rFonts w:hint="default" w:ascii="方正仿宋_GB2312" w:hAnsi="方正仿宋_GB2312" w:eastAsia="方正仿宋_GB2312" w:cs="方正仿宋_GB2312"/>
                <w:color w:val="auto"/>
                <w:position w:val="1"/>
                <w:sz w:val="24"/>
                <w:szCs w:val="24"/>
                <w:lang w:val="en-US" w:eastAsia="zh-CN"/>
              </w:rPr>
              <w:t>≤</w:t>
            </w:r>
            <w:r>
              <w:rPr>
                <w:rFonts w:hint="eastAsia" w:ascii="Times New Roman" w:hAnsi="Times New Roman" w:eastAsia="方正仿宋_GB2312" w:cs="Times New Roman"/>
                <w:snapToGrid w:val="0"/>
                <w:color w:val="auto"/>
                <w:spacing w:val="13"/>
                <w:kern w:val="0"/>
                <w:sz w:val="24"/>
                <w:szCs w:val="24"/>
                <w:lang w:val="en-US" w:eastAsia="zh-CN"/>
              </w:rPr>
              <w:t>1起</w:t>
            </w:r>
          </w:p>
        </w:tc>
      </w:tr>
    </w:tbl>
    <w:p w14:paraId="752694BB">
      <w:pPr>
        <w:widowControl/>
        <w:numPr>
          <w:ilvl w:val="0"/>
          <w:numId w:val="0"/>
        </w:numPr>
        <w:kinsoku w:val="0"/>
        <w:autoSpaceDE w:val="0"/>
        <w:autoSpaceDN w:val="0"/>
        <w:spacing w:before="101" w:line="413" w:lineRule="exact"/>
        <w:ind w:leftChars="400" w:firstLine="0" w:firstLineChars="0"/>
        <w:jc w:val="both"/>
        <w:textAlignment w:val="baseline"/>
        <w:outlineLvl w:val="9"/>
        <w:rPr>
          <w:rFonts w:hint="eastAsia" w:ascii="黑体" w:hAnsi="黑体" w:eastAsia="黑体" w:cs="黑体"/>
          <w:snapToGrid w:val="0"/>
          <w:color w:val="000000"/>
          <w:spacing w:val="4"/>
          <w:kern w:val="0"/>
          <w:position w:val="1"/>
          <w:sz w:val="32"/>
          <w:szCs w:val="32"/>
          <w:lang w:val="en-US" w:eastAsia="zh-CN"/>
        </w:rPr>
      </w:pPr>
      <w:r>
        <w:rPr>
          <w:rFonts w:hint="eastAsia" w:ascii="黑体" w:hAnsi="黑体" w:eastAsia="黑体" w:cs="黑体"/>
          <w:snapToGrid w:val="0"/>
          <w:color w:val="000000"/>
          <w:spacing w:val="4"/>
          <w:kern w:val="0"/>
          <w:position w:val="1"/>
          <w:sz w:val="31"/>
          <w:szCs w:val="31"/>
          <w:lang w:val="en-US" w:eastAsia="zh-CN"/>
        </w:rPr>
        <w:t>　　</w:t>
      </w:r>
      <w:bookmarkStart w:id="127" w:name="_Toc28875"/>
    </w:p>
    <w:p w14:paraId="2835DA5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0"/>
        <w:rPr>
          <w:rFonts w:hint="eastAsia" w:ascii="黑体" w:hAnsi="黑体" w:eastAsia="黑体" w:cs="黑体"/>
          <w:snapToGrid w:val="0"/>
          <w:color w:val="000000"/>
          <w:spacing w:val="4"/>
          <w:kern w:val="0"/>
          <w:position w:val="1"/>
          <w:sz w:val="32"/>
          <w:szCs w:val="32"/>
          <w:lang w:val="en-US" w:eastAsia="zh-CN"/>
        </w:rPr>
      </w:pPr>
    </w:p>
    <w:p w14:paraId="3C53FE8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0"/>
        <w:rPr>
          <w:rFonts w:hint="eastAsia" w:ascii="黑体" w:hAnsi="黑体" w:eastAsia="黑体" w:cs="黑体"/>
          <w:snapToGrid w:val="0"/>
          <w:color w:val="000000"/>
          <w:spacing w:val="4"/>
          <w:kern w:val="0"/>
          <w:position w:val="1"/>
          <w:sz w:val="32"/>
          <w:szCs w:val="32"/>
          <w:lang w:val="en-US" w:eastAsia="zh-CN"/>
        </w:rPr>
      </w:pPr>
      <w:r>
        <w:rPr>
          <w:rFonts w:hint="eastAsia" w:ascii="黑体" w:hAnsi="黑体" w:eastAsia="黑体" w:cs="黑体"/>
          <w:snapToGrid w:val="0"/>
          <w:color w:val="000000"/>
          <w:spacing w:val="4"/>
          <w:kern w:val="0"/>
          <w:position w:val="1"/>
          <w:sz w:val="32"/>
          <w:szCs w:val="32"/>
          <w:lang w:val="en-US" w:eastAsia="zh-CN"/>
        </w:rPr>
        <w:t>第三章   主要任务</w:t>
      </w:r>
      <w:bookmarkEnd w:id="127"/>
    </w:p>
    <w:p w14:paraId="38D5FC97">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1"/>
        <w:rPr>
          <w:rFonts w:hint="eastAsia" w:ascii="方正楷体简体" w:hAnsi="方正楷体简体" w:eastAsia="方正楷体简体" w:cs="方正楷体简体"/>
          <w:b/>
          <w:bCs/>
          <w:snapToGrid w:val="0"/>
          <w:color w:val="000000"/>
          <w:spacing w:val="4"/>
          <w:kern w:val="0"/>
          <w:sz w:val="32"/>
          <w:szCs w:val="32"/>
          <w:lang w:val="en-US" w:eastAsia="zh-CN"/>
        </w:rPr>
      </w:pPr>
      <w:bookmarkStart w:id="128" w:name="_Toc12097"/>
      <w:r>
        <w:rPr>
          <w:rFonts w:hint="eastAsia" w:ascii="方正楷体简体" w:hAnsi="方正楷体简体" w:eastAsia="方正楷体简体" w:cs="方正楷体简体"/>
          <w:b/>
          <w:bCs/>
          <w:snapToGrid w:val="0"/>
          <w:color w:val="000000"/>
          <w:spacing w:val="4"/>
          <w:kern w:val="0"/>
          <w:sz w:val="32"/>
          <w:szCs w:val="32"/>
          <w:lang w:val="en-US" w:eastAsia="zh-CN"/>
        </w:rPr>
        <w:t>第一节  强化责任落实，推动安全生产水平提升</w:t>
      </w:r>
      <w:bookmarkEnd w:id="128"/>
    </w:p>
    <w:p w14:paraId="474ED96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仿宋_GB2312" w:hAnsi="仿宋_GB2312" w:eastAsia="仿宋_GB2312" w:cs="仿宋_GB2312"/>
          <w:snapToGrid w:val="0"/>
          <w:color w:val="auto"/>
          <w:spacing w:val="13"/>
          <w:kern w:val="0"/>
          <w:sz w:val="32"/>
          <w:szCs w:val="32"/>
          <w:lang w:val="en-US" w:eastAsia="zh-CN"/>
        </w:rPr>
      </w:pPr>
      <w:r>
        <w:rPr>
          <w:rFonts w:hint="eastAsia" w:ascii="仿宋" w:hAnsi="仿宋" w:eastAsia="仿宋" w:cs="仿宋"/>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一、严格落实地方党委和政府安全生产责任</w:t>
      </w:r>
    </w:p>
    <w:p w14:paraId="5A7D3E4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深入学习贯彻习近平总书记关于安全生产重要论述，常态化开展安全生产宣讲教育，牢固树立安全发展理念，强化红线意识。严格执行《地方党政领导干部安全生产责任制规定》，优化完善党政领导干部安全生产职责清单、工作任务清单，落实安全生产述职、“第一责任人”履职报告、带队督查检查等制度。加大安全生产指标在高质量发展考核中的权重，强化日常考核、专项考核、年度考核，健全督查、约谈、问责工作机制，推动安全生产责任落地见效。加强人大依法监督、政协民主监督，动员工会、共青团、妇联等群团组织和社会各界参与、支持、监督安全生产工作，健全兵地安全生产联防联控协调机制，凝聚形成安全生产齐抓共管的强大合力。</w:t>
      </w:r>
    </w:p>
    <w:p w14:paraId="4184DD2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0" w:firstLineChars="0"/>
        <w:jc w:val="left"/>
        <w:textAlignment w:val="baseline"/>
        <w:outlineLvl w:val="2"/>
        <w:rPr>
          <w:rFonts w:hint="eastAsia" w:ascii="方正仿宋_GB2312" w:hAnsi="方正仿宋_GB2312" w:eastAsia="方正仿宋_GB2312" w:cs="方正仿宋_GB2312"/>
          <w:b/>
          <w:bCs/>
          <w:snapToGrid w:val="0"/>
          <w:color w:val="000000"/>
          <w:spacing w:val="10"/>
          <w:kern w:val="0"/>
          <w:sz w:val="32"/>
          <w:szCs w:val="32"/>
          <w:lang w:val="en-US" w:eastAsia="zh-CN" w:bidi="ar-SA"/>
        </w:rPr>
      </w:pPr>
      <w:r>
        <w:rPr>
          <w:rFonts w:hint="eastAsia" w:ascii="仿宋" w:hAnsi="仿宋" w:eastAsia="仿宋" w:cs="仿宋"/>
          <w:snapToGrid w:val="0"/>
          <w:color w:val="auto"/>
          <w:spacing w:val="13"/>
          <w:kern w:val="0"/>
          <w:sz w:val="32"/>
          <w:szCs w:val="32"/>
          <w:lang w:val="en-US" w:eastAsia="zh-CN"/>
        </w:rPr>
        <w:t>　　</w:t>
      </w:r>
      <w:r>
        <w:rPr>
          <w:rFonts w:hint="eastAsia" w:ascii="仿宋_GB2312" w:hAnsi="仿宋_GB2312" w:eastAsia="仿宋_GB2312" w:cs="仿宋_GB2312"/>
          <w:b/>
          <w:bCs/>
          <w:snapToGrid w:val="0"/>
          <w:color w:val="auto"/>
          <w:spacing w:val="13"/>
          <w:kern w:val="0"/>
          <w:sz w:val="32"/>
          <w:szCs w:val="32"/>
          <w:lang w:val="en-US" w:eastAsia="zh-CN"/>
        </w:rPr>
        <w:t>二、全面落实行业部门安全生产监管责任</w:t>
      </w:r>
    </w:p>
    <w:p w14:paraId="68AEE7AA">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根据《关于印发〈和田地区安全生产委员会工作规则〉〈地区安全生产委员会办公室工作细则〉的通知》要求，结合我县实际，已组建</w:t>
      </w:r>
      <w:r>
        <w:rPr>
          <w:rFonts w:hint="default" w:ascii="Times New Roman" w:hAnsi="Times New Roman" w:eastAsia="仿宋_GB2312" w:cs="Times New Roman"/>
          <w:b w:val="0"/>
          <w:bCs w:val="0"/>
          <w:snapToGrid w:val="0"/>
          <w:color w:val="auto"/>
          <w:spacing w:val="13"/>
          <w:kern w:val="0"/>
          <w:sz w:val="32"/>
          <w:szCs w:val="32"/>
          <w:highlight w:val="none"/>
          <w:lang w:val="en-US" w:eastAsia="zh-CN"/>
        </w:rPr>
        <w:t>9</w:t>
      </w:r>
      <w:r>
        <w:rPr>
          <w:rFonts w:hint="eastAsia" w:ascii="仿宋_GB2312" w:hAnsi="仿宋_GB2312" w:eastAsia="仿宋_GB2312" w:cs="仿宋_GB2312"/>
          <w:b w:val="0"/>
          <w:bCs w:val="0"/>
          <w:snapToGrid w:val="0"/>
          <w:color w:val="auto"/>
          <w:spacing w:val="13"/>
          <w:kern w:val="0"/>
          <w:sz w:val="32"/>
          <w:szCs w:val="32"/>
          <w:lang w:val="en-US" w:eastAsia="zh-CN"/>
        </w:rPr>
        <w:t>个行业领域安全生产专业委员会，进一步推动行业部门安全监管职责落地。</w:t>
      </w:r>
    </w:p>
    <w:p w14:paraId="6D4743D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按照“管行业必须管安全、管业务必须管安全、管生产经营必须管安全”以及谁主管谁负责、谁审批谁负责原则，健全</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9</w:t>
      </w:r>
      <w:r>
        <w:rPr>
          <w:rFonts w:hint="eastAsia" w:ascii="仿宋_GB2312" w:hAnsi="仿宋_GB2312" w:eastAsia="仿宋_GB2312" w:cs="仿宋_GB2312"/>
          <w:b w:val="0"/>
          <w:bCs w:val="0"/>
          <w:snapToGrid w:val="0"/>
          <w:color w:val="auto"/>
          <w:spacing w:val="13"/>
          <w:kern w:val="0"/>
          <w:sz w:val="32"/>
          <w:szCs w:val="32"/>
          <w:lang w:val="en-US" w:eastAsia="zh-CN"/>
        </w:rPr>
        <w:t>个行业领域安全生产专业委员会运行机制，厘清综合监管与行业监管的职责边界，建立监管权力清单和责任清单。督促各行业部门健全监管机构、充实专业力量、完善工作制度，履行日常监督检查、指导督促、执法监管职责。严格落实安全生产考核奖惩、“一票否决”制度，运用大数据、物联网、云计算等技术搭建安全生产信息化监管平台，实现数据实时采集、风险动态监测、隐患智能预警，提升监管工作的精准性和时效性。</w:t>
      </w:r>
    </w:p>
    <w:p w14:paraId="4C1F91ED">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jc w:val="both"/>
        <w:textAlignment w:val="baseline"/>
        <w:rPr>
          <w:rFonts w:hint="eastAsia" w:ascii="仿宋_GB2312" w:hAnsi="仿宋_GB2312" w:eastAsia="仿宋_GB2312" w:cs="仿宋_GB2312"/>
          <w:b/>
          <w:bCs/>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auto"/>
          <w:spacing w:val="13"/>
          <w:kern w:val="0"/>
          <w:sz w:val="32"/>
          <w:szCs w:val="32"/>
          <w:lang w:val="en-US" w:eastAsia="zh-CN"/>
        </w:rPr>
        <w:t>三、压实企业安全生产主体责任</w:t>
      </w:r>
    </w:p>
    <w:p w14:paraId="347066FB">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val="0"/>
          <w:bCs w:val="0"/>
          <w:snapToGrid w:val="0"/>
          <w:color w:val="auto"/>
          <w:spacing w:val="13"/>
          <w:kern w:val="0"/>
          <w:sz w:val="32"/>
          <w:szCs w:val="32"/>
          <w:lang w:val="en-US" w:eastAsia="zh-CN"/>
        </w:rPr>
        <w:t>　督促企业健全全员安全生产责任制，明确各岗位安全职责，落实安全投入、培训教育等法定责任，严格执行《生产安全事故罚款处罚规定》（应急管理部令第</w:t>
      </w:r>
      <w:r>
        <w:rPr>
          <w:rFonts w:hint="default" w:ascii="Times New Roman" w:hAnsi="Times New Roman" w:eastAsia="仿宋_GB2312" w:cs="Times New Roman"/>
          <w:b w:val="0"/>
          <w:bCs w:val="0"/>
          <w:snapToGrid w:val="0"/>
          <w:color w:val="auto"/>
          <w:spacing w:val="13"/>
          <w:kern w:val="0"/>
          <w:sz w:val="32"/>
          <w:szCs w:val="32"/>
          <w:highlight w:val="none"/>
          <w:lang w:val="en-US" w:eastAsia="zh-CN"/>
        </w:rPr>
        <w:t>14</w:t>
      </w:r>
      <w:r>
        <w:rPr>
          <w:rFonts w:hint="eastAsia" w:ascii="仿宋_GB2312" w:hAnsi="仿宋_GB2312" w:eastAsia="仿宋_GB2312" w:cs="仿宋_GB2312"/>
          <w:b w:val="0"/>
          <w:bCs w:val="0"/>
          <w:snapToGrid w:val="0"/>
          <w:color w:val="auto"/>
          <w:spacing w:val="13"/>
          <w:kern w:val="0"/>
          <w:sz w:val="32"/>
          <w:szCs w:val="32"/>
          <w:lang w:val="en-US" w:eastAsia="zh-CN"/>
        </w:rPr>
        <w:t>号）、《安全生产违法行为行政处罚办法》（应急管理部令第</w:t>
      </w:r>
      <w:r>
        <w:rPr>
          <w:rFonts w:hint="default" w:ascii="Times New Roman" w:hAnsi="Times New Roman" w:eastAsia="仿宋_GB2312" w:cs="Times New Roman"/>
          <w:b w:val="0"/>
          <w:bCs w:val="0"/>
          <w:snapToGrid w:val="0"/>
          <w:color w:val="auto"/>
          <w:spacing w:val="13"/>
          <w:kern w:val="0"/>
          <w:sz w:val="32"/>
          <w:szCs w:val="32"/>
          <w:highlight w:val="none"/>
          <w:lang w:val="en-US" w:eastAsia="zh-CN"/>
        </w:rPr>
        <w:t>18</w:t>
      </w:r>
      <w:r>
        <w:rPr>
          <w:rFonts w:hint="eastAsia" w:ascii="仿宋_GB2312" w:hAnsi="仿宋_GB2312" w:eastAsia="仿宋_GB2312" w:cs="仿宋_GB2312"/>
          <w:b w:val="0"/>
          <w:bCs w:val="0"/>
          <w:snapToGrid w:val="0"/>
          <w:color w:val="auto"/>
          <w:spacing w:val="13"/>
          <w:kern w:val="0"/>
          <w:sz w:val="32"/>
          <w:szCs w:val="32"/>
          <w:lang w:val="en-US" w:eastAsia="zh-CN"/>
        </w:rPr>
        <w:t>号）要求。推行企业主要负责人履职报告制度，高危行业负责人每月至少带队检查</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1</w:t>
      </w:r>
      <w:r>
        <w:rPr>
          <w:rFonts w:hint="eastAsia" w:ascii="仿宋_GB2312" w:hAnsi="仿宋_GB2312" w:eastAsia="仿宋_GB2312" w:cs="仿宋_GB2312"/>
          <w:b w:val="0"/>
          <w:bCs w:val="0"/>
          <w:snapToGrid w:val="0"/>
          <w:color w:val="auto"/>
          <w:spacing w:val="13"/>
          <w:kern w:val="0"/>
          <w:sz w:val="32"/>
          <w:szCs w:val="32"/>
          <w:lang w:val="en-US" w:eastAsia="zh-CN"/>
        </w:rPr>
        <w:t>次。健全安全管理体系，强化特种作业人员管理，杜绝“三违”行为，落实重大事故隐患双报告制度，主动排查整改隐患，形成自我约束、持续改进的内生机制。</w:t>
      </w:r>
    </w:p>
    <w:p w14:paraId="5FC80FBA">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jc w:val="both"/>
        <w:textAlignment w:val="baseline"/>
        <w:rPr>
          <w:rFonts w:hint="eastAsia" w:ascii="仿宋_GB2312" w:hAnsi="仿宋_GB2312" w:eastAsia="仿宋_GB2312" w:cs="仿宋_GB2312"/>
          <w:b/>
          <w:bCs/>
          <w:snapToGrid w:val="0"/>
          <w:color w:val="auto"/>
          <w:spacing w:val="13"/>
          <w:kern w:val="0"/>
          <w:sz w:val="32"/>
          <w:szCs w:val="32"/>
          <w:lang w:val="en-US" w:eastAsia="zh-CN"/>
        </w:rPr>
      </w:pPr>
      <w:r>
        <w:rPr>
          <w:rFonts w:hint="eastAsia" w:ascii="仿宋" w:hAnsi="仿宋" w:eastAsia="仿宋" w:cs="仿宋"/>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auto"/>
          <w:spacing w:val="13"/>
          <w:kern w:val="0"/>
          <w:sz w:val="32"/>
          <w:szCs w:val="32"/>
          <w:lang w:val="en-US" w:eastAsia="zh-CN"/>
        </w:rPr>
        <w:t>四、严肃责任考核监督机制</w:t>
      </w:r>
    </w:p>
    <w:p w14:paraId="55F4CC6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严格落实《安全生产考核巡查办法》（中办 国办</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w:t>
      </w:r>
      <w:r>
        <w:rPr>
          <w:rFonts w:hint="default" w:ascii="Times New Roman" w:hAnsi="Times New Roman" w:eastAsia="仿宋_GB2312" w:cs="Times New Roman"/>
          <w:b w:val="0"/>
          <w:bCs w:val="0"/>
          <w:snapToGrid w:val="0"/>
          <w:color w:val="auto"/>
          <w:spacing w:val="13"/>
          <w:kern w:val="0"/>
          <w:sz w:val="32"/>
          <w:szCs w:val="32"/>
          <w:highlight w:val="none"/>
          <w:lang w:val="en-US" w:eastAsia="zh-CN"/>
        </w:rPr>
        <w:t>2024</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w:t>
      </w:r>
      <w:r>
        <w:rPr>
          <w:rFonts w:hint="default" w:ascii="Times New Roman" w:hAnsi="Times New Roman" w:eastAsia="仿宋_GB2312" w:cs="Times New Roman"/>
          <w:b w:val="0"/>
          <w:bCs w:val="0"/>
          <w:snapToGrid w:val="0"/>
          <w:color w:val="auto"/>
          <w:spacing w:val="13"/>
          <w:kern w:val="0"/>
          <w:sz w:val="32"/>
          <w:szCs w:val="32"/>
          <w:highlight w:val="none"/>
          <w:lang w:val="en-US" w:eastAsia="zh-CN"/>
        </w:rPr>
        <w:t>47</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号</w:t>
      </w:r>
      <w:r>
        <w:rPr>
          <w:rFonts w:hint="eastAsia" w:ascii="仿宋_GB2312" w:hAnsi="仿宋_GB2312" w:eastAsia="仿宋_GB2312" w:cs="仿宋_GB2312"/>
          <w:b w:val="0"/>
          <w:bCs w:val="0"/>
          <w:snapToGrid w:val="0"/>
          <w:color w:val="auto"/>
          <w:spacing w:val="13"/>
          <w:kern w:val="0"/>
          <w:sz w:val="32"/>
          <w:szCs w:val="32"/>
          <w:lang w:val="en-US" w:eastAsia="zh-CN"/>
        </w:rPr>
        <w:t>）要求，将安全生产工作全面纳入高质量发展年度考核体系，增强考核针对性、实效性。建立安委会成员单位主要负责人安全生产述职评议制度，强化对行业部门安全生产责任考核。健全安全生产绩效与履职评定、职务晋升、奖励惩处挂钩机制，将安全生产工作能力和业绩纳入干部考察内容。推行安全生产监管政务及履职第三方评估，严格落实“一票否决”制，健全纪检监察部门安全生产违法违纪问题线索移交查办机制，强化责任追究与警示教育。</w:t>
      </w:r>
    </w:p>
    <w:p w14:paraId="1CCE167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1"/>
        <w:rPr>
          <w:rFonts w:hint="eastAsia" w:ascii="方正楷体简体" w:hAnsi="方正楷体简体" w:eastAsia="方正楷体简体" w:cs="方正楷体简体"/>
          <w:b/>
          <w:bCs/>
          <w:snapToGrid w:val="0"/>
          <w:color w:val="000000"/>
          <w:spacing w:val="4"/>
          <w:kern w:val="0"/>
          <w:sz w:val="32"/>
          <w:szCs w:val="32"/>
          <w:lang w:val="en-US" w:eastAsia="zh-CN"/>
        </w:rPr>
      </w:pPr>
      <w:bookmarkStart w:id="129" w:name="_Toc13806"/>
      <w:r>
        <w:rPr>
          <w:rFonts w:hint="eastAsia" w:ascii="方正楷体简体" w:hAnsi="方正楷体简体" w:eastAsia="方正楷体简体" w:cs="方正楷体简体"/>
          <w:b/>
          <w:bCs/>
          <w:snapToGrid w:val="0"/>
          <w:color w:val="000000"/>
          <w:spacing w:val="4"/>
          <w:kern w:val="0"/>
          <w:sz w:val="32"/>
          <w:szCs w:val="32"/>
          <w:lang w:val="en-US" w:eastAsia="zh-CN"/>
        </w:rPr>
        <w:t>第二节  坚持依法治理，提高基层监管执法能力</w:t>
      </w:r>
      <w:bookmarkEnd w:id="129"/>
    </w:p>
    <w:p w14:paraId="7F96E5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0" w:firstLineChars="0"/>
        <w:jc w:val="left"/>
        <w:textAlignment w:val="baseline"/>
        <w:outlineLvl w:val="2"/>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auto"/>
          <w:spacing w:val="13"/>
          <w:kern w:val="0"/>
          <w:sz w:val="32"/>
          <w:szCs w:val="32"/>
          <w:lang w:val="en-US" w:eastAsia="zh-CN"/>
        </w:rPr>
        <w:t>一、严格落实安全生产责任制</w:t>
      </w:r>
    </w:p>
    <w:p w14:paraId="7696DAFB">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贯彻落实《中华人民共和国安全生产法》《贯彻落实〈地方党政领导干部安全生产责任制规定〉指导意见（试行）》等法律法规，守牢安全生产的红线和底线，确保各项措施全面落实，着力形成全社会规范的安全生产法治秩序。建立健全“排查有标可量、执法有标可依、救援有标可循”的全方位工作格局，为安全生产工作提供法治保障。</w:t>
      </w:r>
    </w:p>
    <w:p w14:paraId="6F73347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0" w:firstLineChars="0"/>
        <w:jc w:val="left"/>
        <w:textAlignment w:val="baseline"/>
        <w:outlineLvl w:val="2"/>
        <w:rPr>
          <w:rFonts w:hint="eastAsia" w:ascii="仿宋_GB2312" w:hAnsi="仿宋_GB2312" w:eastAsia="仿宋_GB2312" w:cs="仿宋_GB2312"/>
          <w:b/>
          <w:bCs/>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auto"/>
          <w:spacing w:val="13"/>
          <w:kern w:val="0"/>
          <w:sz w:val="32"/>
          <w:szCs w:val="32"/>
          <w:lang w:val="en-US" w:eastAsia="zh-CN"/>
        </w:rPr>
        <w:t>二、提升安全生产监管执法能力</w:t>
      </w:r>
    </w:p>
    <w:p w14:paraId="38FE7B0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firstLine="0" w:firstLineChars="0"/>
        <w:jc w:val="left"/>
        <w:textAlignment w:val="baseline"/>
        <w:outlineLvl w:val="9"/>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按照自治区应急管理综合行政执法改革要求，加快组建县级应急管理综合行政执法队伍，配齐配强危险化学品、非煤矿山、工业园区等重点领域执法力量。厘清行业执法管辖责任，实施分类分级执法，提升执法精准度。严格执法人员持证上岗和资格管理制度，健全入职培训、定期轮训、考核评价机制，实现全员持证上岗。确保执法队伍中具有安全生产相关专业学历和实践经验的人员比例不低于</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70%</w:t>
      </w:r>
      <w:r>
        <w:rPr>
          <w:rFonts w:hint="eastAsia" w:ascii="仿宋_GB2312" w:hAnsi="仿宋_GB2312" w:eastAsia="仿宋_GB2312" w:cs="仿宋_GB2312"/>
          <w:b w:val="0"/>
          <w:bCs w:val="0"/>
          <w:snapToGrid w:val="0"/>
          <w:color w:val="auto"/>
          <w:spacing w:val="13"/>
          <w:kern w:val="0"/>
          <w:sz w:val="32"/>
          <w:szCs w:val="32"/>
          <w:lang w:val="en-US" w:eastAsia="zh-CN"/>
        </w:rPr>
        <w:t>。强化安全生产网格化监管，落实乡镇（街办、园区）安全监管职责，建立县乡执法协同配合机制，提升基层执法效能。</w:t>
      </w:r>
    </w:p>
    <w:p w14:paraId="5BF6B60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0" w:firstLineChars="0"/>
        <w:jc w:val="left"/>
        <w:textAlignment w:val="baseline"/>
        <w:outlineLvl w:val="2"/>
        <w:rPr>
          <w:rFonts w:hint="eastAsia" w:ascii="仿宋_GB2312" w:hAnsi="仿宋_GB2312" w:eastAsia="仿宋_GB2312" w:cs="仿宋_GB2312"/>
          <w:b/>
          <w:bCs/>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auto"/>
          <w:spacing w:val="13"/>
          <w:kern w:val="0"/>
          <w:sz w:val="32"/>
          <w:szCs w:val="32"/>
          <w:lang w:val="en-US" w:eastAsia="zh-CN"/>
        </w:rPr>
        <w:t>三、规范安全生产监管执法行为</w:t>
      </w:r>
    </w:p>
    <w:p w14:paraId="0A54D5E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0" w:firstLineChars="0"/>
        <w:jc w:val="left"/>
        <w:textAlignment w:val="baseline"/>
        <w:outlineLvl w:val="2"/>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严格规范日常执法、专项执法、明查暗访、交叉互检等工作方式，建立重点企业清单，实行重点企业“全覆盖”执法、一般企业“双随机、一公开”抽查。严格落实《自治区安全生产严格执法十项措施》，深化“执法+专家”“互联网+执法”模式，规范执法流程，全面推行行政执法公示、执法全过程记录、重大执法决定法制审核“三项制度”，确保执法行为规范、程序合法、结果公正。</w:t>
      </w:r>
    </w:p>
    <w:p w14:paraId="5C50ACD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0" w:firstLineChars="0"/>
        <w:jc w:val="left"/>
        <w:textAlignment w:val="baseline"/>
        <w:outlineLvl w:val="2"/>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auto"/>
          <w:spacing w:val="13"/>
          <w:kern w:val="0"/>
          <w:sz w:val="32"/>
          <w:szCs w:val="32"/>
          <w:lang w:val="en-US" w:eastAsia="zh-CN"/>
        </w:rPr>
        <w:t>四、加强安全生产隐患排查治理</w:t>
      </w:r>
    </w:p>
    <w:p w14:paraId="05E61DFD">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完善企业隐患自查自报自改、政府挂牌督办、验收销号、责任倒查、效果评价全流程制度，构建县、乡、企三级联动隐患排查治理信息系统，实现隐患上报、核查、整改、验收、销号闭环管理。对重大隐患整改不力、履职不到位的单位和个人，依法依规严肃追责问责，推动隐患治理常态化、规范化、长效化。</w:t>
      </w:r>
    </w:p>
    <w:p w14:paraId="3CA2A6A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Chars="0" w:right="0" w:rightChars="0" w:firstLine="0" w:firstLineChars="0"/>
        <w:jc w:val="left"/>
        <w:textAlignment w:val="baseline"/>
        <w:outlineLvl w:val="2"/>
        <w:rPr>
          <w:rFonts w:hint="eastAsia" w:ascii="仿宋_GB2312" w:hAnsi="仿宋_GB2312" w:eastAsia="仿宋_GB2312" w:cs="仿宋_GB2312"/>
          <w:b/>
          <w:bCs/>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bidi="ar-SA"/>
        </w:rPr>
        <w:t>　　</w:t>
      </w:r>
      <w:r>
        <w:rPr>
          <w:rFonts w:hint="eastAsia" w:ascii="仿宋_GB2312" w:hAnsi="仿宋_GB2312" w:eastAsia="仿宋_GB2312" w:cs="仿宋_GB2312"/>
          <w:b/>
          <w:bCs/>
          <w:snapToGrid w:val="0"/>
          <w:color w:val="auto"/>
          <w:spacing w:val="13"/>
          <w:kern w:val="0"/>
          <w:sz w:val="32"/>
          <w:szCs w:val="32"/>
          <w:lang w:val="en-US" w:eastAsia="zh-CN"/>
        </w:rPr>
        <w:t>五、提高安全监管执法效能</w:t>
      </w:r>
    </w:p>
    <w:p w14:paraId="417A9EB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highlight w:val="none"/>
          <w:lang w:val="en-US" w:eastAsia="zh-CN"/>
        </w:rPr>
      </w:pPr>
      <w:r>
        <w:rPr>
          <w:rFonts w:hint="eastAsia" w:ascii="仿宋_GB2312" w:hAnsi="仿宋_GB2312" w:eastAsia="仿宋_GB2312" w:cs="仿宋_GB2312"/>
          <w:b w:val="0"/>
          <w:bCs w:val="0"/>
          <w:snapToGrid w:val="0"/>
          <w:color w:val="auto"/>
          <w:spacing w:val="13"/>
          <w:kern w:val="0"/>
          <w:sz w:val="32"/>
          <w:szCs w:val="32"/>
          <w:highlight w:val="none"/>
          <w:lang w:val="en-US" w:eastAsia="zh-CN"/>
        </w:rPr>
        <w:t>坚持“全覆盖、零容忍、严执法、重实效”，严厉打击安全生产违法违规行为，对存在重大安全隐患的单位依法采取停产整治、查封扣押等措施，形成强力震慑。公开曝光典型违法案例和重大隐患，扩大教育警示效果。健全执法与司法衔接机制，对涉嫌犯罪的依法移送司法机关处理，提升执法权威性和震慑力。</w:t>
      </w:r>
    </w:p>
    <w:p w14:paraId="4004AD44">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1"/>
        <w:rPr>
          <w:rFonts w:hint="eastAsia" w:ascii="方正楷体简体" w:hAnsi="方正楷体简体" w:eastAsia="方正楷体简体" w:cs="方正楷体简体"/>
          <w:b/>
          <w:bCs/>
          <w:snapToGrid w:val="0"/>
          <w:color w:val="000000"/>
          <w:spacing w:val="4"/>
          <w:kern w:val="0"/>
          <w:sz w:val="32"/>
          <w:szCs w:val="32"/>
          <w:lang w:val="en-US" w:eastAsia="zh-CN"/>
        </w:rPr>
      </w:pPr>
      <w:bookmarkStart w:id="130" w:name="_Toc24487"/>
      <w:r>
        <w:rPr>
          <w:rFonts w:hint="eastAsia" w:ascii="方正楷体简体" w:hAnsi="方正楷体简体" w:eastAsia="方正楷体简体" w:cs="方正楷体简体"/>
          <w:b/>
          <w:bCs/>
          <w:snapToGrid w:val="0"/>
          <w:color w:val="000000"/>
          <w:spacing w:val="4"/>
          <w:kern w:val="0"/>
          <w:sz w:val="32"/>
          <w:szCs w:val="32"/>
          <w:lang w:val="en-US" w:eastAsia="zh-CN"/>
        </w:rPr>
        <w:t>第三节  坚持源头治理，筑牢事故风险防控基础</w:t>
      </w:r>
      <w:bookmarkEnd w:id="130"/>
    </w:p>
    <w:p w14:paraId="37A57ED5">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0" w:firstLineChars="0"/>
        <w:jc w:val="left"/>
        <w:textAlignment w:val="baseline"/>
        <w:outlineLvl w:val="2"/>
        <w:rPr>
          <w:rFonts w:hint="eastAsia" w:ascii="仿宋_GB2312" w:hAnsi="仿宋_GB2312" w:eastAsia="仿宋_GB2312" w:cs="仿宋_GB2312"/>
          <w:b w:val="0"/>
          <w:bCs w:val="0"/>
          <w:snapToGrid w:val="0"/>
          <w:color w:val="000000"/>
          <w:spacing w:val="10"/>
          <w:kern w:val="0"/>
          <w:sz w:val="32"/>
          <w:szCs w:val="32"/>
          <w:lang w:val="en-US" w:eastAsia="zh-CN"/>
        </w:rPr>
      </w:pPr>
      <w:r>
        <w:rPr>
          <w:rFonts w:hint="eastAsia" w:ascii="仿宋" w:hAnsi="仿宋" w:eastAsia="仿宋" w:cs="仿宋"/>
          <w:b/>
          <w:bCs/>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一、严格安全生产准入机制</w:t>
      </w:r>
    </w:p>
    <w:p w14:paraId="4920009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严格执行国家产业政策，严禁产能落后、安全保障能力低的项目进入县域和园区。提高高危行业安全准入门槛，加强建设项目安全评估审查。强制淘汰不符合安全标准的工艺、技术、装备和材料，从源头降低安全风险。严格落实建设项目安全设施“三同时”制度，依法开展新材料、新工艺、新业态安全风险评估审查。加强行政审批规范化、信息化建设，对取消、下放、移交的行政许可事项，强化全流程监管。</w:t>
      </w:r>
    </w:p>
    <w:p w14:paraId="44F00F1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firstLine="0" w:firstLineChars="0"/>
        <w:jc w:val="left"/>
        <w:textAlignment w:val="baseline"/>
        <w:outlineLvl w:val="2"/>
        <w:rPr>
          <w:rFonts w:hint="eastAsia" w:ascii="方正仿宋_GB2312" w:hAnsi="方正仿宋_GB2312" w:eastAsia="方正仿宋_GB2312" w:cs="方正仿宋_GB2312"/>
          <w:b w:val="0"/>
          <w:bCs w:val="0"/>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二、全力管控安全风险监测预警</w:t>
      </w:r>
    </w:p>
    <w:p w14:paraId="00DA5EC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建立完善各行业领域企业安全风险评估制度，定期开展安全风险辨识、分析和评估。实行高危行业领域风险隐患清单化管理、重点单位包保制管控、防控体系项目化建设。建立完善重大安全风险联防联控机制。加快推进高危行业领域安全生产风险监测预警系统建设，构建重大危险信息共享的安全生产风险信息管理体系，实现信息共享，加强风险预警管控。</w:t>
      </w:r>
    </w:p>
    <w:p w14:paraId="4FE025AB">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0" w:firstLineChars="0"/>
        <w:jc w:val="left"/>
        <w:textAlignment w:val="baseline"/>
        <w:outlineLvl w:val="2"/>
        <w:rPr>
          <w:rFonts w:hint="eastAsia" w:ascii="仿宋_GB2312" w:hAnsi="仿宋_GB2312" w:eastAsia="仿宋_GB2312" w:cs="仿宋_GB2312"/>
          <w:b/>
          <w:bCs/>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三、严格排查治理安全隐患</w:t>
      </w:r>
    </w:p>
    <w:p w14:paraId="1E1C28A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深化落实企业安全生产隐患排查治理制度，完善隐患排查、治理、记录、通报、报告等程序和标准，形成安全生产责任落实、问题处置和隐患整改“三个闭环”。健全重大事故隐患治理督办制度，落实重大危险源安全包保责任制。实行重大隐患治理效果评估，公开隐患排查治理情况。构建各乡镇、各部门、各企业多级联动的隐患数据库，完善线上线下配套监管制度。</w:t>
      </w:r>
    </w:p>
    <w:p w14:paraId="51C86CF2">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1"/>
        <w:rPr>
          <w:rFonts w:hint="default" w:ascii="方正楷体简体" w:hAnsi="方正楷体简体" w:eastAsia="方正楷体简体" w:cs="方正楷体简体"/>
          <w:b/>
          <w:bCs/>
          <w:snapToGrid w:val="0"/>
          <w:color w:val="000000"/>
          <w:spacing w:val="4"/>
          <w:kern w:val="0"/>
          <w:sz w:val="32"/>
          <w:szCs w:val="32"/>
          <w:lang w:val="en-US" w:eastAsia="zh-CN"/>
        </w:rPr>
      </w:pPr>
      <w:bookmarkStart w:id="131" w:name="_Toc23919"/>
      <w:r>
        <w:rPr>
          <w:rFonts w:hint="eastAsia" w:ascii="方正楷体简体" w:hAnsi="方正楷体简体" w:eastAsia="方正楷体简体" w:cs="方正楷体简体"/>
          <w:b/>
          <w:bCs/>
          <w:snapToGrid w:val="0"/>
          <w:color w:val="000000"/>
          <w:spacing w:val="4"/>
          <w:kern w:val="0"/>
          <w:sz w:val="32"/>
          <w:szCs w:val="32"/>
          <w:lang w:val="en-US" w:eastAsia="zh-CN"/>
        </w:rPr>
        <w:t>第四节 聚焦重点行业领域专项整治，着力提升安全水平</w:t>
      </w:r>
      <w:bookmarkEnd w:id="131"/>
    </w:p>
    <w:p w14:paraId="370392B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outlineLvl w:val="2"/>
        <w:rPr>
          <w:rFonts w:hint="eastAsia" w:ascii="方正仿宋_GB2312" w:hAnsi="方正仿宋_GB2312" w:eastAsia="方正仿宋_GB2312" w:cs="方正仿宋_GB2312"/>
          <w:b w:val="0"/>
          <w:bCs w:val="0"/>
          <w:snapToGrid w:val="0"/>
          <w:color w:val="000000"/>
          <w:spacing w:val="10"/>
          <w:kern w:val="0"/>
          <w:sz w:val="32"/>
          <w:szCs w:val="32"/>
          <w:lang w:val="en-US" w:eastAsia="zh-CN"/>
        </w:rPr>
      </w:pPr>
      <w:r>
        <w:rPr>
          <w:rFonts w:hint="eastAsia" w:ascii="仿宋" w:hAnsi="仿宋" w:eastAsia="仿宋" w:cs="仿宋"/>
          <w:b/>
          <w:bCs/>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一、危险化学品和烟花爆竹安全</w:t>
      </w:r>
    </w:p>
    <w:p w14:paraId="6669744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4"/>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深入开展危险化学品企业安全风险精准排查评估，实行“红、橙、黄、蓝”四级风险分级管控，按照“一企一策”“一园一策”实施严格治理。推动化工企业自动化控制、安全监测预警系统改造升级，强化企业、医院、学校等单位危险化学品储存使用监管。加强危险化学品应急救援队伍建设，强化油气输送管道高后果区管控，规范危险货物运输装卸全过程管理，推动危险货物运输车辆安装智能监控系统。严格落实《烟花爆竹安全管理条例》，科学规划零售网点，强化联合执法，严厉打击非法经营、储存、运输行为，提升烟花爆竹安全管理水平。</w:t>
      </w:r>
    </w:p>
    <w:p w14:paraId="3CC4B71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outlineLvl w:val="2"/>
        <w:rPr>
          <w:rFonts w:hint="eastAsia" w:ascii="方正仿宋_GB2312" w:hAnsi="方正仿宋_GB2312" w:eastAsia="方正仿宋_GB2312" w:cs="方正仿宋_GB2312"/>
          <w:b w:val="0"/>
          <w:bCs w:val="0"/>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rPr>
        <w:t>　</w:t>
      </w:r>
      <w:r>
        <w:rPr>
          <w:rFonts w:hint="eastAsia" w:ascii="方正仿宋_GB2312" w:hAnsi="方正仿宋_GB2312" w:eastAsia="方正仿宋_GB2312" w:cs="方正仿宋_GB2312"/>
          <w:b/>
          <w:bCs/>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二、矿山安全</w:t>
      </w:r>
    </w:p>
    <w:p w14:paraId="75992470">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outlineLvl w:val="2"/>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8"/>
          <w:kern w:val="0"/>
          <w:sz w:val="32"/>
          <w:szCs w:val="32"/>
          <w:lang w:val="en-US" w:eastAsia="zh-CN"/>
        </w:rPr>
        <w:t>　</w:t>
      </w:r>
      <w:r>
        <w:rPr>
          <w:rFonts w:hint="eastAsia" w:ascii="方正仿宋_GB2312" w:hAnsi="方正仿宋_GB2312" w:eastAsia="方正仿宋_GB2312" w:cs="方正仿宋_GB2312"/>
          <w:b w:val="0"/>
          <w:bCs w:val="0"/>
          <w:snapToGrid w:val="0"/>
          <w:color w:val="auto"/>
          <w:spacing w:val="13"/>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严格非煤矿山安全准入，落实最小开采规模和最低服务年限标准，提升规模化、集约化水平。严格执行领导干部安全包保责任制，强化安全设施设计审查和安全生产许可证管理。完善矿山应急救援机制，推动重点非煤矿山组建专职救护队，提升风险预警和应急处置能力。</w:t>
      </w:r>
    </w:p>
    <w:p w14:paraId="732A89A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outlineLvl w:val="2"/>
        <w:rPr>
          <w:rFonts w:hint="eastAsia" w:ascii="方正仿宋_GB2312" w:hAnsi="方正仿宋_GB2312" w:eastAsia="方正仿宋_GB2312" w:cs="方正仿宋_GB2312"/>
          <w:b w:val="0"/>
          <w:bCs w:val="0"/>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三、工贸行业安全</w:t>
      </w:r>
    </w:p>
    <w:p w14:paraId="05462B39">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outlineLvl w:val="2"/>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8"/>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建立以安全生产标准化为核心的工贸行业安全管理体系，实现规模以上工贸企业安全生产标准化</w:t>
      </w:r>
      <w:r>
        <w:rPr>
          <w:rFonts w:hint="default" w:ascii="Times New Roman" w:hAnsi="Times New Roman" w:eastAsia="仿宋_GB2312" w:cs="Times New Roman"/>
          <w:b w:val="0"/>
          <w:bCs w:val="0"/>
          <w:snapToGrid w:val="0"/>
          <w:color w:val="auto"/>
          <w:spacing w:val="13"/>
          <w:kern w:val="0"/>
          <w:sz w:val="32"/>
          <w:szCs w:val="32"/>
          <w:highlight w:val="none"/>
          <w:lang w:val="en-US" w:eastAsia="zh-CN"/>
        </w:rPr>
        <w:t>100%</w:t>
      </w:r>
      <w:r>
        <w:rPr>
          <w:rFonts w:hint="eastAsia" w:ascii="仿宋_GB2312" w:hAnsi="仿宋_GB2312" w:eastAsia="仿宋_GB2312" w:cs="仿宋_GB2312"/>
          <w:b w:val="0"/>
          <w:bCs w:val="0"/>
          <w:snapToGrid w:val="0"/>
          <w:color w:val="auto"/>
          <w:spacing w:val="13"/>
          <w:kern w:val="0"/>
          <w:sz w:val="32"/>
          <w:szCs w:val="32"/>
          <w:lang w:val="en-US" w:eastAsia="zh-CN"/>
        </w:rPr>
        <w:t>达标，到期企业</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100%</w:t>
      </w:r>
      <w:r>
        <w:rPr>
          <w:rFonts w:hint="eastAsia" w:ascii="仿宋_GB2312" w:hAnsi="仿宋_GB2312" w:eastAsia="仿宋_GB2312" w:cs="仿宋_GB2312"/>
          <w:b w:val="0"/>
          <w:bCs w:val="0"/>
          <w:snapToGrid w:val="0"/>
          <w:color w:val="auto"/>
          <w:spacing w:val="13"/>
          <w:kern w:val="0"/>
          <w:sz w:val="32"/>
          <w:szCs w:val="32"/>
          <w:lang w:val="en-US" w:eastAsia="zh-CN"/>
        </w:rPr>
        <w:t>按时完成延期复评。加强商贸物流园、货物存储场所、商场、超市、批发市场、餐饮等人员密集场所安全检查，推动商业零售、餐饮单位开展标准化创建，引导企业全员参与、全面排查、彻底整治隐患，提升行业整体安全水平。</w:t>
      </w:r>
    </w:p>
    <w:p w14:paraId="7DC87782">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1"/>
        <w:rPr>
          <w:rFonts w:hint="eastAsia" w:ascii="方正楷体简体" w:hAnsi="方正楷体简体" w:eastAsia="方正楷体简体" w:cs="方正楷体简体"/>
          <w:b/>
          <w:bCs/>
          <w:snapToGrid w:val="0"/>
          <w:color w:val="000000"/>
          <w:spacing w:val="4"/>
          <w:kern w:val="0"/>
          <w:sz w:val="32"/>
          <w:szCs w:val="32"/>
          <w:lang w:val="en-US" w:eastAsia="zh-CN"/>
        </w:rPr>
      </w:pPr>
      <w:bookmarkStart w:id="132" w:name="_Toc5807"/>
      <w:r>
        <w:rPr>
          <w:rFonts w:hint="eastAsia" w:ascii="方正楷体简体" w:hAnsi="方正楷体简体" w:eastAsia="方正楷体简体" w:cs="方正楷体简体"/>
          <w:b/>
          <w:bCs/>
          <w:snapToGrid w:val="0"/>
          <w:color w:val="000000"/>
          <w:spacing w:val="4"/>
          <w:kern w:val="0"/>
          <w:sz w:val="32"/>
          <w:szCs w:val="32"/>
          <w:lang w:val="en-US" w:eastAsia="zh-CN"/>
        </w:rPr>
        <w:t>第五节  健全完善应急救援体系，提升应急救援能力</w:t>
      </w:r>
      <w:bookmarkEnd w:id="132"/>
    </w:p>
    <w:p w14:paraId="1662571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outlineLvl w:val="2"/>
        <w:rPr>
          <w:rFonts w:hint="eastAsia" w:ascii="方正仿宋_GB2312" w:hAnsi="方正仿宋_GB2312" w:eastAsia="方正仿宋_GB2312" w:cs="方正仿宋_GB2312"/>
          <w:b w:val="0"/>
          <w:bCs w:val="0"/>
          <w:snapToGrid w:val="0"/>
          <w:color w:val="000000"/>
          <w:spacing w:val="10"/>
          <w:kern w:val="0"/>
          <w:sz w:val="32"/>
          <w:szCs w:val="32"/>
          <w:lang w:val="en-US" w:eastAsia="zh-CN"/>
        </w:rPr>
      </w:pPr>
      <w:r>
        <w:rPr>
          <w:rFonts w:hint="eastAsia" w:ascii="仿宋" w:hAnsi="仿宋" w:eastAsia="仿宋" w:cs="仿宋"/>
          <w:b/>
          <w:bCs/>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一、健全协同联动机制</w:t>
      </w:r>
    </w:p>
    <w:p w14:paraId="13090EF3">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both"/>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4"/>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构建统一指挥、专常兼备、反应迅速、上下联动的生产安全事故应急救援体系。按照“统一领导、分级负责，条块结合、属地为主”的原则，优化县乡两级生产安全事故应急联动工作机制。健全完善部门联动和社会协同机制。</w:t>
      </w:r>
    </w:p>
    <w:p w14:paraId="1D66F165">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outlineLvl w:val="2"/>
        <w:rPr>
          <w:rFonts w:hint="eastAsia" w:ascii="方正仿宋_GB2312" w:hAnsi="方正仿宋_GB2312" w:eastAsia="方正仿宋_GB2312" w:cs="方正仿宋_GB2312"/>
          <w:b w:val="0"/>
          <w:bCs w:val="0"/>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二、加强应急预案体系建设和应急演练</w:t>
      </w:r>
    </w:p>
    <w:p w14:paraId="02DB39E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outlineLvl w:val="2"/>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5"/>
          <w:kern w:val="0"/>
          <w:sz w:val="32"/>
          <w:szCs w:val="32"/>
          <w:lang w:val="en-US"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以情景构建、实战导向为基础，修订完善政府应急预案，督促行业部门、企业完成应急预案修订工作，指导制定高危行业、重大危险源、重大隐患专项预案，实现应急预案全覆盖、无缝衔接。严格预案备案管理，备案率达到</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100%</w:t>
      </w:r>
      <w:r>
        <w:rPr>
          <w:rFonts w:hint="eastAsia" w:ascii="仿宋_GB2312" w:hAnsi="仿宋_GB2312" w:eastAsia="仿宋_GB2312" w:cs="仿宋_GB2312"/>
          <w:b w:val="0"/>
          <w:bCs w:val="0"/>
          <w:snapToGrid w:val="0"/>
          <w:color w:val="auto"/>
          <w:spacing w:val="13"/>
          <w:kern w:val="0"/>
          <w:sz w:val="32"/>
          <w:szCs w:val="32"/>
          <w:lang w:val="en-US" w:eastAsia="zh-CN"/>
        </w:rPr>
        <w:t>。定期开展政企联合、社企联动、多部门协作应急演练，各乡镇、重点单位、重点企业每年至少开展</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4</w:t>
      </w:r>
      <w:r>
        <w:rPr>
          <w:rFonts w:hint="eastAsia" w:ascii="仿宋_GB2312" w:hAnsi="仿宋_GB2312" w:eastAsia="仿宋_GB2312" w:cs="仿宋_GB2312"/>
          <w:b w:val="0"/>
          <w:bCs w:val="0"/>
          <w:snapToGrid w:val="0"/>
          <w:color w:val="auto"/>
          <w:spacing w:val="13"/>
          <w:kern w:val="0"/>
          <w:sz w:val="32"/>
          <w:szCs w:val="32"/>
          <w:lang w:val="en-US" w:eastAsia="zh-CN"/>
        </w:rPr>
        <w:t>次综合应急演练，强化演练评估与预案优化，提升预案实用性和可操作性。</w:t>
      </w:r>
    </w:p>
    <w:p w14:paraId="31813A36">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outlineLvl w:val="2"/>
        <w:rPr>
          <w:rFonts w:hint="eastAsia" w:ascii="仿宋_GB2312" w:hAnsi="仿宋_GB2312" w:eastAsia="仿宋_GB2312" w:cs="仿宋_GB2312"/>
          <w:b/>
          <w:bCs/>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三、打造“</w:t>
      </w:r>
      <w:r>
        <w:rPr>
          <w:rFonts w:hint="default" w:ascii="Times New Roman" w:hAnsi="Times New Roman" w:eastAsia="仿宋_GB2312" w:cs="Times New Roman"/>
          <w:b/>
          <w:bCs/>
          <w:snapToGrid w:val="0"/>
          <w:color w:val="000000"/>
          <w:spacing w:val="10"/>
          <w:kern w:val="0"/>
          <w:sz w:val="32"/>
          <w:szCs w:val="32"/>
          <w:lang w:val="en-US" w:eastAsia="zh-CN"/>
        </w:rPr>
        <w:t>1+4</w:t>
      </w:r>
      <w:r>
        <w:rPr>
          <w:rFonts w:hint="eastAsia" w:ascii="仿宋_GB2312" w:hAnsi="仿宋_GB2312" w:eastAsia="仿宋_GB2312" w:cs="仿宋_GB2312"/>
          <w:b/>
          <w:bCs/>
          <w:snapToGrid w:val="0"/>
          <w:color w:val="000000"/>
          <w:spacing w:val="10"/>
          <w:kern w:val="0"/>
          <w:sz w:val="32"/>
          <w:szCs w:val="32"/>
          <w:lang w:val="en-US" w:eastAsia="zh-CN"/>
        </w:rPr>
        <w:t>”应急救援力量体系</w:t>
      </w:r>
    </w:p>
    <w:p w14:paraId="184F6BC4">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5"/>
          <w:kern w:val="0"/>
          <w:sz w:val="32"/>
          <w:szCs w:val="32"/>
          <w:lang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构建以国家综合性消防救援队伍为主力军、专业救援队伍为骨干、基层救援队伍为常备力量、社会救援队伍为补充、应急管理专家组为支撑的“</w:t>
      </w:r>
      <w:r>
        <w:rPr>
          <w:rFonts w:hint="eastAsia" w:ascii="仿宋_GB2312" w:hAnsi="仿宋_GB2312" w:eastAsia="仿宋_GB2312" w:cs="仿宋_GB2312"/>
          <w:b w:val="0"/>
          <w:bCs w:val="0"/>
          <w:snapToGrid w:val="0"/>
          <w:color w:val="auto"/>
          <w:spacing w:val="13"/>
          <w:kern w:val="0"/>
          <w:sz w:val="32"/>
          <w:szCs w:val="32"/>
          <w:highlight w:val="none"/>
          <w:lang w:val="en-US" w:eastAsia="zh-CN"/>
        </w:rPr>
        <w:t>1+4</w:t>
      </w:r>
      <w:r>
        <w:rPr>
          <w:rFonts w:hint="eastAsia" w:ascii="仿宋_GB2312" w:hAnsi="仿宋_GB2312" w:eastAsia="仿宋_GB2312" w:cs="仿宋_GB2312"/>
          <w:b w:val="0"/>
          <w:bCs w:val="0"/>
          <w:snapToGrid w:val="0"/>
          <w:color w:val="auto"/>
          <w:spacing w:val="13"/>
          <w:kern w:val="0"/>
          <w:sz w:val="32"/>
          <w:szCs w:val="32"/>
          <w:lang w:val="en-US" w:eastAsia="zh-CN"/>
        </w:rPr>
        <w:t>”应急救援力量体系。推动矿山、危化等企业依法组建专业救援队伍，开展社会应急力量分类分级测评，建立共训共练、协同救援机制。加强县乡两级救援队伍装备操作培训，提升装备运用能力和实战救援能力。</w:t>
      </w:r>
    </w:p>
    <w:p w14:paraId="22BF6061">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0" w:firstLineChars="0"/>
        <w:jc w:val="left"/>
        <w:textAlignment w:val="baseline"/>
        <w:outlineLvl w:val="2"/>
        <w:rPr>
          <w:rFonts w:hint="eastAsia" w:ascii="方正仿宋_GB2312" w:hAnsi="方正仿宋_GB2312" w:eastAsia="方正仿宋_GB2312" w:cs="方正仿宋_GB2312"/>
          <w:b/>
          <w:bCs/>
          <w:snapToGrid w:val="0"/>
          <w:color w:val="000000"/>
          <w:spacing w:val="10"/>
          <w:kern w:val="0"/>
          <w:sz w:val="32"/>
          <w:szCs w:val="32"/>
          <w:lang w:val="en-US" w:eastAsia="zh-CN"/>
        </w:rPr>
      </w:pPr>
      <w:r>
        <w:rPr>
          <w:rFonts w:hint="eastAsia" w:ascii="方正仿宋_GB2312" w:hAnsi="方正仿宋_GB2312" w:eastAsia="方正仿宋_GB2312" w:cs="方正仿宋_GB2312"/>
          <w:b w:val="0"/>
          <w:bCs w:val="0"/>
          <w:snapToGrid w:val="0"/>
          <w:color w:val="000000"/>
          <w:spacing w:val="10"/>
          <w:kern w:val="0"/>
          <w:sz w:val="32"/>
          <w:szCs w:val="32"/>
          <w:lang w:val="en-US" w:eastAsia="zh-CN"/>
        </w:rPr>
        <w:t>　　</w:t>
      </w:r>
      <w:r>
        <w:rPr>
          <w:rFonts w:hint="eastAsia" w:ascii="仿宋_GB2312" w:hAnsi="仿宋_GB2312" w:eastAsia="仿宋_GB2312" w:cs="仿宋_GB2312"/>
          <w:b/>
          <w:bCs/>
          <w:snapToGrid w:val="0"/>
          <w:color w:val="000000"/>
          <w:spacing w:val="10"/>
          <w:kern w:val="0"/>
          <w:sz w:val="32"/>
          <w:szCs w:val="32"/>
          <w:lang w:val="en-US" w:eastAsia="zh-CN"/>
        </w:rPr>
        <w:t>四、建立高效运转的应急救灾物资保障体系</w:t>
      </w:r>
    </w:p>
    <w:p w14:paraId="7248404B">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　　整合应急资源，健全应急物资储备、生产、调运、补充、紧急配送机制。建立应急物资储备数据库和综合信息平台，实现物资动态管理、精准调度。鼓励企业、社会组织参与应急物资储备，强化物资联动保障，为突发事件处置提供坚实物资支撑。</w:t>
      </w:r>
    </w:p>
    <w:p w14:paraId="073EAEF6">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6" w:firstLineChars="0"/>
        <w:jc w:val="left"/>
        <w:textAlignment w:val="baseline"/>
        <w:outlineLvl w:val="9"/>
        <w:rPr>
          <w:rFonts w:hint="eastAsia" w:ascii="方正仿宋_GB2312" w:hAnsi="方正仿宋_GB2312" w:eastAsia="方正仿宋_GB2312" w:cs="方正仿宋_GB2312"/>
          <w:b w:val="0"/>
          <w:bCs w:val="0"/>
          <w:snapToGrid w:val="0"/>
          <w:color w:val="000000"/>
          <w:spacing w:val="4"/>
          <w:kern w:val="0"/>
          <w:sz w:val="32"/>
          <w:szCs w:val="32"/>
          <w:lang w:val="en-US" w:eastAsia="zh-CN"/>
        </w:rPr>
      </w:pPr>
    </w:p>
    <w:p w14:paraId="61E0426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76" w:lineRule="exact"/>
        <w:ind w:left="0" w:leftChars="0" w:right="0" w:firstLine="0" w:firstLineChars="0"/>
        <w:jc w:val="center"/>
        <w:textAlignment w:val="baseline"/>
        <w:outlineLvl w:val="0"/>
        <w:rPr>
          <w:rFonts w:hint="eastAsia" w:ascii="楷体" w:hAnsi="楷体" w:eastAsia="楷体" w:cs="楷体"/>
          <w:b/>
          <w:bCs/>
          <w:snapToGrid w:val="0"/>
          <w:color w:val="FF0000"/>
          <w:spacing w:val="10"/>
          <w:kern w:val="0"/>
          <w:sz w:val="32"/>
          <w:szCs w:val="32"/>
          <w:lang w:val="en-US" w:eastAsia="zh-CN" w:bidi="ar-SA"/>
        </w:rPr>
      </w:pPr>
      <w:bookmarkStart w:id="133" w:name="_Toc10451"/>
      <w:r>
        <w:rPr>
          <w:rFonts w:hint="eastAsia" w:ascii="黑体" w:hAnsi="黑体" w:eastAsia="黑体" w:cs="黑体"/>
          <w:snapToGrid w:val="0"/>
          <w:color w:val="000000"/>
          <w:spacing w:val="4"/>
          <w:kern w:val="0"/>
          <w:sz w:val="32"/>
          <w:szCs w:val="32"/>
          <w:lang w:val="en-US" w:eastAsia="zh-CN"/>
        </w:rPr>
        <w:t>　　第四章  重点工程</w:t>
      </w:r>
      <w:bookmarkEnd w:id="133"/>
    </w:p>
    <w:p w14:paraId="36B60E0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482" w:firstLineChars="141"/>
        <w:jc w:val="left"/>
        <w:textAlignment w:val="baseline"/>
        <w:rPr>
          <w:rFonts w:hint="eastAsia" w:ascii="方正仿宋_GB2312" w:hAnsi="方正仿宋_GB2312" w:eastAsia="方正仿宋_GB2312" w:cs="方正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应急物资储备点建设项目拟选址于墨玉县工业园区火车站向东约</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500</w:t>
      </w:r>
      <w:r>
        <w:rPr>
          <w:rFonts w:hint="eastAsia" w:ascii="仿宋_GB2312" w:hAnsi="仿宋_GB2312" w:eastAsia="仿宋_GB2312" w:cs="仿宋_GB2312"/>
          <w:b w:val="0"/>
          <w:bCs w:val="0"/>
          <w:snapToGrid w:val="0"/>
          <w:color w:val="auto"/>
          <w:spacing w:val="13"/>
          <w:kern w:val="0"/>
          <w:sz w:val="32"/>
          <w:szCs w:val="32"/>
          <w:lang w:val="en-US" w:eastAsia="zh-CN"/>
        </w:rPr>
        <w:t>米处，位于县中心库房原址区域。该选址区位交通条件优越，临近铁路及主要公路通道，有利于救灾物资的集中储备与快速调运；同时与现有应急管理、物流体系衔接紧密，可有效降低运营成本、提升调度效率。项目总投资为</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2000</w:t>
      </w:r>
      <w:r>
        <w:rPr>
          <w:rFonts w:hint="eastAsia" w:ascii="仿宋_GB2312" w:hAnsi="仿宋_GB2312" w:eastAsia="仿宋_GB2312" w:cs="仿宋_GB2312"/>
          <w:b w:val="0"/>
          <w:bCs w:val="0"/>
          <w:snapToGrid w:val="0"/>
          <w:color w:val="auto"/>
          <w:spacing w:val="13"/>
          <w:kern w:val="0"/>
          <w:sz w:val="32"/>
          <w:szCs w:val="32"/>
          <w:lang w:val="en-US" w:eastAsia="zh-CN"/>
        </w:rPr>
        <w:t>万元，拟申报援疆资金，实施年限为</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2029</w:t>
      </w:r>
      <w:r>
        <w:rPr>
          <w:rFonts w:hint="eastAsia" w:ascii="仿宋_GB2312" w:hAnsi="仿宋_GB2312" w:eastAsia="仿宋_GB2312" w:cs="仿宋_GB2312"/>
          <w:b w:val="0"/>
          <w:bCs w:val="0"/>
          <w:snapToGrid w:val="0"/>
          <w:color w:val="auto"/>
          <w:spacing w:val="13"/>
          <w:kern w:val="0"/>
          <w:sz w:val="32"/>
          <w:szCs w:val="32"/>
          <w:lang w:val="en-US" w:eastAsia="zh-CN"/>
        </w:rPr>
        <w:t>年。项目拟新建</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3000</w:t>
      </w:r>
      <w:r>
        <w:rPr>
          <w:rFonts w:hint="eastAsia" w:ascii="仿宋_GB2312" w:hAnsi="仿宋_GB2312" w:eastAsia="仿宋_GB2312" w:cs="仿宋_GB2312"/>
          <w:b w:val="0"/>
          <w:bCs w:val="0"/>
          <w:snapToGrid w:val="0"/>
          <w:color w:val="auto"/>
          <w:spacing w:val="13"/>
          <w:kern w:val="0"/>
          <w:sz w:val="32"/>
          <w:szCs w:val="32"/>
          <w:lang w:val="en-US" w:eastAsia="zh-CN"/>
        </w:rPr>
        <w:t>平方米库房，包括应急物资储备库区、生产辅助用房、管理用房、室外附属工程、设备购置及信息化系统建设等。</w:t>
      </w:r>
      <w:bookmarkStart w:id="134" w:name="_Toc18067"/>
      <w:r>
        <w:rPr>
          <w:rFonts w:hint="eastAsia" w:ascii="仿宋_GB2312" w:hAnsi="仿宋_GB2312" w:eastAsia="仿宋_GB2312" w:cs="仿宋_GB2312"/>
          <w:b w:val="0"/>
          <w:bCs w:val="0"/>
          <w:snapToGrid w:val="0"/>
          <w:color w:val="auto"/>
          <w:spacing w:val="13"/>
          <w:kern w:val="0"/>
          <w:sz w:val="32"/>
          <w:szCs w:val="32"/>
          <w:lang w:val="en-US" w:eastAsia="zh-CN"/>
        </w:rPr>
        <w:t>该项目还包括墨玉县救灾物资前置库房建设，在现有</w:t>
      </w:r>
      <w:r>
        <w:rPr>
          <w:rFonts w:hint="eastAsia" w:ascii="Times New Roman" w:hAnsi="Times New Roman" w:eastAsia="仿宋_GB2312" w:cs="Times New Roman"/>
          <w:b w:val="0"/>
          <w:bCs w:val="0"/>
          <w:snapToGrid w:val="0"/>
          <w:color w:val="auto"/>
          <w:spacing w:val="13"/>
          <w:kern w:val="0"/>
          <w:sz w:val="32"/>
          <w:szCs w:val="32"/>
          <w:highlight w:val="none"/>
          <w:lang w:val="en-US" w:eastAsia="zh-CN"/>
        </w:rPr>
        <w:t>11</w:t>
      </w:r>
      <w:r>
        <w:rPr>
          <w:rFonts w:hint="eastAsia" w:ascii="仿宋_GB2312" w:hAnsi="仿宋_GB2312" w:eastAsia="仿宋_GB2312" w:cs="仿宋_GB2312"/>
          <w:b w:val="0"/>
          <w:bCs w:val="0"/>
          <w:snapToGrid w:val="0"/>
          <w:color w:val="auto"/>
          <w:spacing w:val="13"/>
          <w:kern w:val="0"/>
          <w:sz w:val="32"/>
          <w:szCs w:val="32"/>
          <w:lang w:val="en-US" w:eastAsia="zh-CN"/>
        </w:rPr>
        <w:t>处前置点基础上，建设一批抗震等级高、配置标准化、管理信息化的救灾物资前置库房，基本形成县、乡镇（街办、园区）、重点行政村（社区</w:t>
      </w:r>
      <w:bookmarkStart w:id="164" w:name="_GoBack"/>
      <w:bookmarkEnd w:id="164"/>
      <w:r>
        <w:rPr>
          <w:rFonts w:hint="eastAsia" w:ascii="仿宋_GB2312" w:hAnsi="仿宋_GB2312" w:eastAsia="仿宋_GB2312" w:cs="仿宋_GB2312"/>
          <w:b w:val="0"/>
          <w:bCs w:val="0"/>
          <w:snapToGrid w:val="0"/>
          <w:color w:val="auto"/>
          <w:spacing w:val="13"/>
          <w:kern w:val="0"/>
          <w:sz w:val="32"/>
          <w:szCs w:val="32"/>
          <w:lang w:val="en-US" w:eastAsia="zh-CN"/>
        </w:rPr>
        <w:t>）三级联动、布局合理、保障有力的救灾物资储备体系，切实提升我县及周边地区对各类灾害和生产事故的应对能力。</w:t>
      </w:r>
      <w:bookmarkEnd w:id="134"/>
    </w:p>
    <w:p w14:paraId="28C90BC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76" w:lineRule="exact"/>
        <w:ind w:firstLine="0" w:firstLineChars="0"/>
        <w:jc w:val="center"/>
        <w:textAlignment w:val="baseline"/>
        <w:outlineLvl w:val="0"/>
        <w:rPr>
          <w:rFonts w:hint="eastAsia" w:ascii="黑体" w:hAnsi="黑体" w:eastAsia="黑体" w:cs="黑体"/>
          <w:snapToGrid w:val="0"/>
          <w:color w:val="000000"/>
          <w:spacing w:val="4"/>
          <w:kern w:val="0"/>
          <w:sz w:val="32"/>
          <w:szCs w:val="32"/>
          <w:lang w:val="en-US" w:eastAsia="zh-CN"/>
        </w:rPr>
      </w:pPr>
      <w:bookmarkStart w:id="135" w:name="_Toc18049"/>
    </w:p>
    <w:p w14:paraId="10BDBD6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76" w:lineRule="exact"/>
        <w:ind w:firstLine="0" w:firstLineChars="0"/>
        <w:jc w:val="center"/>
        <w:textAlignment w:val="baseline"/>
        <w:outlineLvl w:val="0"/>
        <w:rPr>
          <w:rFonts w:hint="eastAsia" w:ascii="微软雅黑" w:hAnsi="微软雅黑" w:eastAsia="微软雅黑" w:cs="微软雅黑"/>
          <w:snapToGrid w:val="0"/>
          <w:color w:val="000000"/>
          <w:spacing w:val="4"/>
          <w:kern w:val="0"/>
          <w:sz w:val="31"/>
          <w:szCs w:val="31"/>
          <w:lang w:val="en-US" w:eastAsia="zh-CN"/>
        </w:rPr>
      </w:pPr>
      <w:r>
        <w:rPr>
          <w:rFonts w:hint="eastAsia" w:ascii="黑体" w:hAnsi="黑体" w:eastAsia="黑体" w:cs="黑体"/>
          <w:snapToGrid w:val="0"/>
          <w:color w:val="000000"/>
          <w:spacing w:val="4"/>
          <w:kern w:val="0"/>
          <w:sz w:val="32"/>
          <w:szCs w:val="32"/>
          <w:lang w:val="en-US" w:eastAsia="zh-CN"/>
        </w:rPr>
        <w:t>第五章   保障措施</w:t>
      </w:r>
      <w:bookmarkEnd w:id="135"/>
    </w:p>
    <w:p w14:paraId="11FE9F89">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1"/>
        <w:rPr>
          <w:rFonts w:hint="eastAsia" w:ascii="方正楷体简体" w:hAnsi="方正楷体简体" w:eastAsia="方正楷体简体" w:cs="方正楷体简体"/>
          <w:b/>
          <w:bCs/>
          <w:snapToGrid w:val="0"/>
          <w:color w:val="000000"/>
          <w:spacing w:val="4"/>
          <w:kern w:val="0"/>
          <w:sz w:val="32"/>
          <w:szCs w:val="32"/>
          <w:lang w:val="en-US" w:eastAsia="zh-CN"/>
        </w:rPr>
      </w:pPr>
      <w:bookmarkStart w:id="136" w:name="_Toc30194"/>
      <w:r>
        <w:rPr>
          <w:rFonts w:hint="eastAsia" w:ascii="方正楷体简体" w:hAnsi="方正楷体简体" w:eastAsia="方正楷体简体" w:cs="方正楷体简体"/>
          <w:b/>
          <w:bCs/>
          <w:snapToGrid w:val="0"/>
          <w:color w:val="000000"/>
          <w:spacing w:val="4"/>
          <w:kern w:val="0"/>
          <w:sz w:val="32"/>
          <w:szCs w:val="32"/>
          <w:lang w:val="en-US" w:eastAsia="zh-CN"/>
        </w:rPr>
        <w:t>第一节  加强组织领导</w:t>
      </w:r>
      <w:bookmarkEnd w:id="136"/>
    </w:p>
    <w:p w14:paraId="21C62AC9">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both"/>
        <w:textAlignment w:val="baseline"/>
        <w:outlineLvl w:val="1"/>
        <w:rPr>
          <w:rFonts w:hint="eastAsia" w:ascii="仿宋_GB2312" w:hAnsi="仿宋_GB2312" w:eastAsia="仿宋_GB2312" w:cs="仿宋_GB2312"/>
          <w:b w:val="0"/>
          <w:bCs w:val="0"/>
          <w:snapToGrid w:val="0"/>
          <w:color w:val="auto"/>
          <w:spacing w:val="13"/>
          <w:kern w:val="0"/>
          <w:sz w:val="32"/>
          <w:szCs w:val="32"/>
          <w:lang w:val="en-US" w:eastAsia="zh-CN"/>
        </w:rPr>
      </w:pPr>
      <w:bookmarkStart w:id="137" w:name="bookmark80"/>
      <w:bookmarkEnd w:id="137"/>
      <w:bookmarkStart w:id="138" w:name="_Toc15065"/>
      <w:r>
        <w:rPr>
          <w:rFonts w:hint="eastAsia" w:ascii="仿宋" w:hAnsi="仿宋" w:eastAsia="仿宋" w:cs="仿宋"/>
          <w:b w:val="0"/>
          <w:bCs w:val="0"/>
          <w:snapToGrid w:val="0"/>
          <w:color w:val="000000"/>
          <w:spacing w:val="4"/>
          <w:kern w:val="0"/>
          <w:sz w:val="32"/>
          <w:szCs w:val="32"/>
          <w:lang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坚持党对安全生产工作的全面领导，强化规划实施组织保障，健全“统一领导、综合协调、分工负责、齐抓共管”工作机制。充分发挥县应急管理局统筹协调作用，制定规划实施方案，细化目标任务、责任主体、实施步骤和保障措施，确保责任落实、经费落实、措施到位、监管到位，推动规划落地见效。</w:t>
      </w:r>
    </w:p>
    <w:p w14:paraId="4FD5E23F">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1"/>
        <w:rPr>
          <w:rFonts w:hint="eastAsia" w:ascii="方正楷体简体" w:hAnsi="方正楷体简体" w:eastAsia="方正楷体简体" w:cs="方正楷体简体"/>
          <w:b/>
          <w:bCs/>
          <w:snapToGrid w:val="0"/>
          <w:color w:val="000000"/>
          <w:spacing w:val="4"/>
          <w:kern w:val="0"/>
          <w:sz w:val="32"/>
          <w:szCs w:val="32"/>
          <w:lang w:val="en-US" w:eastAsia="zh-CN"/>
        </w:rPr>
      </w:pPr>
      <w:r>
        <w:rPr>
          <w:rFonts w:hint="eastAsia" w:ascii="方正楷体简体" w:hAnsi="方正楷体简体" w:eastAsia="方正楷体简体" w:cs="方正楷体简体"/>
          <w:b/>
          <w:bCs/>
          <w:snapToGrid w:val="0"/>
          <w:color w:val="000000"/>
          <w:spacing w:val="4"/>
          <w:kern w:val="0"/>
          <w:sz w:val="32"/>
          <w:szCs w:val="32"/>
          <w:lang w:val="en-US" w:eastAsia="zh-CN"/>
        </w:rPr>
        <w:t>　　第二节  加强资金保障</w:t>
      </w:r>
      <w:bookmarkEnd w:id="138"/>
    </w:p>
    <w:p w14:paraId="334570D7">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方正仿宋_GB2312" w:hAnsi="方正仿宋_GB2312" w:eastAsia="方正仿宋_GB2312" w:cs="方正仿宋_GB2312"/>
          <w:b w:val="0"/>
          <w:bCs w:val="0"/>
          <w:snapToGrid w:val="0"/>
          <w:color w:val="000000"/>
          <w:spacing w:val="4"/>
          <w:kern w:val="0"/>
          <w:sz w:val="32"/>
          <w:szCs w:val="32"/>
          <w:lang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强化安全发展理念，将工作统筹纳入政府全局工作，将专项资金纳入财政预算。完善资金投入机制，拓宽投入渠道，建立与安全生产规划实施相适应的经费保障机制，统筹安排基础设施建设、重大工程建设、人才培养、科技研发、科普宣传和教育培训等方面的经费投入。完善经费保障机制，加强资金监督、管理和使用。</w:t>
      </w:r>
    </w:p>
    <w:p w14:paraId="2DC1FD4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firstLine="0" w:firstLineChars="0"/>
        <w:jc w:val="center"/>
        <w:textAlignment w:val="baseline"/>
        <w:outlineLvl w:val="1"/>
        <w:rPr>
          <w:rFonts w:hint="eastAsia" w:ascii="方正楷体简体" w:hAnsi="方正楷体简体" w:eastAsia="方正楷体简体" w:cs="方正楷体简体"/>
          <w:b/>
          <w:bCs/>
          <w:snapToGrid w:val="0"/>
          <w:color w:val="000000"/>
          <w:spacing w:val="4"/>
          <w:kern w:val="0"/>
          <w:sz w:val="32"/>
          <w:szCs w:val="32"/>
          <w:lang w:val="en-US" w:eastAsia="zh-CN"/>
        </w:rPr>
      </w:pPr>
      <w:bookmarkStart w:id="139" w:name="bookmark61"/>
      <w:bookmarkEnd w:id="139"/>
      <w:bookmarkStart w:id="140" w:name="_Toc29858"/>
      <w:r>
        <w:rPr>
          <w:rFonts w:hint="eastAsia" w:ascii="方正楷体简体" w:hAnsi="方正楷体简体" w:eastAsia="方正楷体简体" w:cs="方正楷体简体"/>
          <w:b/>
          <w:bCs/>
          <w:snapToGrid w:val="0"/>
          <w:color w:val="000000"/>
          <w:spacing w:val="4"/>
          <w:kern w:val="0"/>
          <w:sz w:val="32"/>
          <w:szCs w:val="32"/>
          <w:lang w:val="en-US" w:eastAsia="zh-CN"/>
        </w:rPr>
        <w:t>　　第三节  加强人才保障</w:t>
      </w:r>
      <w:bookmarkEnd w:id="140"/>
    </w:p>
    <w:p w14:paraId="5735A7F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0" w:firstLineChars="0"/>
        <w:jc w:val="left"/>
        <w:textAlignment w:val="baseline"/>
        <w:rPr>
          <w:rFonts w:hint="eastAsia" w:ascii="方正仿宋_GB2312" w:hAnsi="方正仿宋_GB2312" w:eastAsia="方正仿宋_GB2312" w:cs="方正仿宋_GB2312"/>
          <w:b w:val="0"/>
          <w:bCs w:val="0"/>
          <w:snapToGrid w:val="0"/>
          <w:color w:val="000000"/>
          <w:spacing w:val="4"/>
          <w:kern w:val="0"/>
          <w:sz w:val="32"/>
          <w:szCs w:val="32"/>
          <w:lang w:eastAsia="en-US"/>
        </w:rPr>
      </w:pPr>
      <w:bookmarkStart w:id="141" w:name="bookmark81"/>
      <w:bookmarkEnd w:id="141"/>
      <w:bookmarkStart w:id="142" w:name="_Toc26424"/>
      <w:r>
        <w:rPr>
          <w:rFonts w:hint="eastAsia" w:ascii="仿宋_GB2312" w:hAnsi="仿宋_GB2312" w:eastAsia="仿宋_GB2312" w:cs="仿宋_GB2312"/>
          <w:b w:val="0"/>
          <w:bCs w:val="0"/>
          <w:snapToGrid w:val="0"/>
          <w:color w:val="auto"/>
          <w:spacing w:val="13"/>
          <w:kern w:val="0"/>
          <w:sz w:val="32"/>
          <w:szCs w:val="32"/>
          <w:lang w:val="en-US" w:eastAsia="zh-CN"/>
        </w:rPr>
        <w:t>　　紧扣安全发展战略需求，实施安全专业人才队伍建设工程，强化基层监管人员、企业安全管理人员、应急救援人员、社会志愿者队伍建设。加强安全生产工程技术、风险监测预警、事故调查、应急处置等专业人才培养，开展多层次、精准化教育培训，打造结构合理、专业过硬、素质优良的安全人才队伍，为安全生产高质量发展提供智力支持。</w:t>
      </w:r>
    </w:p>
    <w:p w14:paraId="2E12AD60">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center"/>
        <w:textAlignment w:val="baseline"/>
        <w:outlineLvl w:val="1"/>
        <w:rPr>
          <w:rFonts w:hint="eastAsia" w:ascii="楷体" w:hAnsi="楷体" w:eastAsia="楷体" w:cs="楷体"/>
          <w:b/>
          <w:bCs/>
          <w:snapToGrid w:val="0"/>
          <w:color w:val="000000"/>
          <w:spacing w:val="0"/>
          <w:kern w:val="0"/>
          <w:sz w:val="32"/>
          <w:szCs w:val="32"/>
          <w:lang w:eastAsia="en-US"/>
        </w:rPr>
      </w:pPr>
      <w:r>
        <w:rPr>
          <w:rFonts w:hint="eastAsia" w:ascii="楷体" w:hAnsi="楷体" w:eastAsia="楷体" w:cs="楷体"/>
          <w:b/>
          <w:bCs/>
          <w:snapToGrid w:val="0"/>
          <w:color w:val="000000"/>
          <w:spacing w:val="5"/>
          <w:kern w:val="0"/>
          <w:sz w:val="32"/>
          <w:szCs w:val="32"/>
          <w:lang w:eastAsia="zh-CN"/>
        </w:rPr>
        <w:t>　</w:t>
      </w:r>
      <w:r>
        <w:rPr>
          <w:rFonts w:hint="eastAsia" w:ascii="方正楷体简体" w:hAnsi="方正楷体简体" w:eastAsia="方正楷体简体" w:cs="方正楷体简体"/>
          <w:b/>
          <w:bCs/>
          <w:snapToGrid w:val="0"/>
          <w:color w:val="000000"/>
          <w:spacing w:val="4"/>
          <w:kern w:val="0"/>
          <w:sz w:val="32"/>
          <w:szCs w:val="32"/>
          <w:lang w:val="en-US" w:eastAsia="zh-CN"/>
        </w:rPr>
        <w:t>　第四节  加强交流合作</w:t>
      </w:r>
      <w:bookmarkEnd w:id="142"/>
    </w:p>
    <w:p w14:paraId="49CBF65E">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both"/>
        <w:textAlignment w:val="baseline"/>
        <w:outlineLvl w:val="1"/>
        <w:rPr>
          <w:rFonts w:hint="eastAsia" w:ascii="仿宋_GB2312" w:hAnsi="仿宋_GB2312" w:eastAsia="仿宋_GB2312" w:cs="仿宋_GB2312"/>
          <w:b w:val="0"/>
          <w:bCs w:val="0"/>
          <w:snapToGrid w:val="0"/>
          <w:color w:val="auto"/>
          <w:spacing w:val="13"/>
          <w:kern w:val="0"/>
          <w:sz w:val="32"/>
          <w:szCs w:val="32"/>
          <w:lang w:val="en-US" w:eastAsia="zh-CN"/>
        </w:rPr>
      </w:pPr>
      <w:bookmarkStart w:id="143" w:name="bookmark82"/>
      <w:bookmarkEnd w:id="143"/>
      <w:bookmarkStart w:id="144" w:name="_Toc17235"/>
      <w:r>
        <w:rPr>
          <w:rFonts w:hint="eastAsia" w:ascii="方正仿宋_GB2312" w:hAnsi="方正仿宋_GB2312" w:eastAsia="方正仿宋_GB2312" w:cs="方正仿宋_GB2312"/>
          <w:b w:val="0"/>
          <w:bCs w:val="0"/>
          <w:snapToGrid w:val="0"/>
          <w:color w:val="000000"/>
          <w:spacing w:val="4"/>
          <w:kern w:val="0"/>
          <w:sz w:val="32"/>
          <w:szCs w:val="32"/>
          <w:lang w:eastAsia="zh-CN"/>
        </w:rPr>
        <w:t>　</w:t>
      </w:r>
      <w:r>
        <w:rPr>
          <w:rFonts w:hint="eastAsia" w:ascii="仿宋_GB2312" w:hAnsi="仿宋_GB2312" w:eastAsia="仿宋_GB2312" w:cs="仿宋_GB2312"/>
          <w:b w:val="0"/>
          <w:bCs w:val="0"/>
          <w:snapToGrid w:val="0"/>
          <w:color w:val="auto"/>
          <w:spacing w:val="13"/>
          <w:kern w:val="0"/>
          <w:sz w:val="32"/>
          <w:szCs w:val="32"/>
          <w:lang w:val="en-US" w:eastAsia="zh-CN"/>
        </w:rPr>
        <w:t>　深化区域合作，健全安全生产联动机制。加强与科研院所、高等院校、行业协会、先进企业交流合作，推进安全技术产学研用融合，吸收推广先进管理经验、科技成果和治理模式，提升科技支撑能力和治理现代化水平。</w:t>
      </w:r>
    </w:p>
    <w:p w14:paraId="46C1A77B">
      <w:pPr>
        <w:keepNext w:val="0"/>
        <w:keepLines w:val="0"/>
        <w:pageBreakBefore w:val="0"/>
        <w:widowControl/>
        <w:kinsoku w:val="0"/>
        <w:wordWrap/>
        <w:overflowPunct/>
        <w:topLinePunct w:val="0"/>
        <w:autoSpaceDE w:val="0"/>
        <w:autoSpaceDN w:val="0"/>
        <w:bidi w:val="0"/>
        <w:adjustRightInd w:val="0"/>
        <w:snapToGrid w:val="0"/>
        <w:spacing w:line="560" w:lineRule="exact"/>
        <w:ind w:firstLine="0" w:firstLineChars="0"/>
        <w:jc w:val="center"/>
        <w:textAlignment w:val="baseline"/>
        <w:outlineLvl w:val="1"/>
        <w:rPr>
          <w:rFonts w:ascii="微软雅黑" w:hAnsi="微软雅黑" w:eastAsia="微软雅黑" w:cs="微软雅黑"/>
          <w:snapToGrid w:val="0"/>
          <w:color w:val="000000"/>
          <w:spacing w:val="0"/>
          <w:kern w:val="0"/>
          <w:sz w:val="31"/>
          <w:szCs w:val="31"/>
          <w:lang w:eastAsia="en-US"/>
        </w:rPr>
      </w:pPr>
      <w:r>
        <w:rPr>
          <w:rFonts w:hint="eastAsia" w:ascii="楷体" w:hAnsi="楷体" w:eastAsia="楷体" w:cs="楷体"/>
          <w:b/>
          <w:bCs/>
          <w:snapToGrid w:val="0"/>
          <w:color w:val="000000"/>
          <w:spacing w:val="5"/>
          <w:kern w:val="0"/>
          <w:sz w:val="32"/>
          <w:szCs w:val="32"/>
          <w:lang w:eastAsia="zh-CN"/>
        </w:rPr>
        <w:t>　</w:t>
      </w:r>
      <w:r>
        <w:rPr>
          <w:rFonts w:hint="eastAsia" w:ascii="仿宋" w:hAnsi="仿宋" w:eastAsia="仿宋" w:cs="仿宋"/>
          <w:b/>
          <w:bCs/>
          <w:snapToGrid w:val="0"/>
          <w:color w:val="000000"/>
          <w:spacing w:val="5"/>
          <w:kern w:val="0"/>
          <w:sz w:val="32"/>
          <w:szCs w:val="32"/>
          <w:lang w:eastAsia="zh-CN"/>
        </w:rPr>
        <w:t>　</w:t>
      </w:r>
      <w:r>
        <w:rPr>
          <w:rFonts w:hint="eastAsia" w:ascii="方正楷体简体" w:hAnsi="方正楷体简体" w:eastAsia="方正楷体简体" w:cs="方正楷体简体"/>
          <w:b/>
          <w:bCs/>
          <w:snapToGrid w:val="0"/>
          <w:color w:val="000000"/>
          <w:spacing w:val="4"/>
          <w:kern w:val="0"/>
          <w:sz w:val="32"/>
          <w:szCs w:val="32"/>
          <w:lang w:val="en-US" w:eastAsia="zh-CN"/>
        </w:rPr>
        <w:t>第五节  加强评估考核</w:t>
      </w:r>
      <w:bookmarkEnd w:id="144"/>
    </w:p>
    <w:p w14:paraId="3188482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r>
        <w:rPr>
          <w:rFonts w:hint="eastAsia" w:ascii="仿宋_GB2312" w:hAnsi="仿宋_GB2312" w:eastAsia="仿宋_GB2312" w:cs="仿宋_GB2312"/>
          <w:b w:val="0"/>
          <w:bCs w:val="0"/>
          <w:snapToGrid w:val="0"/>
          <w:color w:val="auto"/>
          <w:spacing w:val="13"/>
          <w:kern w:val="0"/>
          <w:sz w:val="32"/>
          <w:szCs w:val="32"/>
          <w:lang w:val="en-US" w:eastAsia="zh-CN"/>
        </w:rPr>
        <w:t>建立方案实施的中期评估、终期考核机制，强化跟踪监测、动态调整、督查问效。县安委会定期对规划目标、任务、工程实施情况开展评估，科学运用考核结果，对成效突出的单位和个人予以表彰奖励，对工作不力、进展缓慢的严肃追责问责。加强规划实施社会监督，及时公开进展情况，营造全社会关心支持参与安全生产工作的良好氛围。</w:t>
      </w:r>
    </w:p>
    <w:p w14:paraId="00713AA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793629E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5815F61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18CB174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657430F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31C2890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4D1737B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7ECD642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797660C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651394D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70EDE8F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0957F7D8">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092CE40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3DFFB01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0678079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7E6DD54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6D5BA41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29A3A3E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4D2E3FE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52CE6A3B">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79073B11">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2150548B">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right="0" w:firstLine="692"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sectPr>
          <w:footerReference r:id="rId20" w:type="default"/>
          <w:pgSz w:w="11906" w:h="16838"/>
          <w:pgMar w:top="2098" w:right="1474" w:bottom="1984" w:left="1587" w:header="851" w:footer="992" w:gutter="0"/>
          <w:pgNumType w:fmt="decimal" w:start="1"/>
          <w:cols w:space="0" w:num="1"/>
          <w:rtlGutter w:val="0"/>
          <w:docGrid w:type="linesAndChars" w:linePitch="579" w:charSpace="-842"/>
        </w:sectPr>
      </w:pPr>
    </w:p>
    <w:p w14:paraId="455EF904">
      <w:pPr>
        <w:keepNext w:val="0"/>
        <w:keepLines w:val="0"/>
        <w:pageBreakBefore w:val="0"/>
        <w:widowControl w:val="0"/>
        <w:kinsoku/>
        <w:wordWrap/>
        <w:overflowPunct/>
        <w:topLinePunct w:val="0"/>
        <w:autoSpaceDE/>
        <w:autoSpaceDN/>
        <w:bidi w:val="0"/>
        <w:adjustRightInd w:val="0"/>
        <w:snapToGrid w:val="0"/>
        <w:spacing w:line="1000" w:lineRule="exact"/>
        <w:ind w:firstLine="0" w:firstLineChars="0"/>
        <w:jc w:val="center"/>
        <w:textAlignment w:val="auto"/>
        <w:outlineLvl w:val="9"/>
        <w:rPr>
          <w:rFonts w:hint="eastAsia" w:ascii="方正小标宋简体" w:hAnsi="方正小标宋简体" w:eastAsia="方正小标宋简体" w:cs="方正小标宋简体"/>
          <w:b w:val="0"/>
          <w:bCs w:val="0"/>
          <w:color w:val="auto"/>
          <w:spacing w:val="-6"/>
          <w:kern w:val="2"/>
          <w:sz w:val="52"/>
          <w:szCs w:val="52"/>
          <w:lang w:val="en-US" w:bidi="ar-SA"/>
        </w:rPr>
      </w:pPr>
    </w:p>
    <w:p w14:paraId="0A2479C0">
      <w:pPr>
        <w:keepNext w:val="0"/>
        <w:keepLines w:val="0"/>
        <w:pageBreakBefore w:val="0"/>
        <w:widowControl w:val="0"/>
        <w:kinsoku/>
        <w:wordWrap/>
        <w:overflowPunct/>
        <w:topLinePunct w:val="0"/>
        <w:autoSpaceDE/>
        <w:autoSpaceDN/>
        <w:bidi w:val="0"/>
        <w:adjustRightInd w:val="0"/>
        <w:snapToGrid w:val="0"/>
        <w:spacing w:line="1000" w:lineRule="exact"/>
        <w:ind w:firstLine="0" w:firstLineChars="0"/>
        <w:jc w:val="center"/>
        <w:textAlignment w:val="auto"/>
        <w:outlineLvl w:val="9"/>
        <w:rPr>
          <w:rFonts w:hint="eastAsia" w:ascii="方正小标宋简体" w:hAnsi="方正小标宋简体" w:eastAsia="方正小标宋简体" w:cs="方正小标宋简体"/>
          <w:b/>
          <w:bCs/>
          <w:color w:val="auto"/>
          <w:spacing w:val="-6"/>
          <w:kern w:val="2"/>
          <w:sz w:val="52"/>
          <w:szCs w:val="52"/>
          <w:lang w:val="en-US" w:eastAsia="zh-CN" w:bidi="ar-SA"/>
        </w:rPr>
      </w:pPr>
      <w:r>
        <w:rPr>
          <w:rFonts w:hint="eastAsia" w:ascii="方正小标宋简体" w:hAnsi="方正小标宋简体" w:eastAsia="方正小标宋简体" w:cs="方正小标宋简体"/>
          <w:b/>
          <w:bCs/>
          <w:color w:val="auto"/>
          <w:spacing w:val="-6"/>
          <w:kern w:val="2"/>
          <w:sz w:val="52"/>
          <w:szCs w:val="52"/>
          <w:lang w:val="en-US" w:bidi="ar-SA"/>
        </w:rPr>
        <w:t>墨玉县</w:t>
      </w:r>
      <w:r>
        <w:rPr>
          <w:rFonts w:hint="eastAsia" w:ascii="方正小标宋简体" w:hAnsi="方正小标宋简体" w:eastAsia="方正小标宋简体" w:cs="方正小标宋简体"/>
          <w:b/>
          <w:bCs/>
          <w:color w:val="auto"/>
          <w:spacing w:val="-6"/>
          <w:kern w:val="2"/>
          <w:sz w:val="52"/>
          <w:szCs w:val="52"/>
          <w:lang w:val="en-US" w:eastAsia="zh-CN" w:bidi="ar-SA"/>
        </w:rPr>
        <w:t>应急管理科技与信息化</w:t>
      </w:r>
    </w:p>
    <w:p w14:paraId="533F47D1">
      <w:pPr>
        <w:keepNext w:val="0"/>
        <w:keepLines w:val="0"/>
        <w:pageBreakBefore w:val="0"/>
        <w:widowControl w:val="0"/>
        <w:kinsoku/>
        <w:wordWrap/>
        <w:overflowPunct/>
        <w:topLinePunct w:val="0"/>
        <w:autoSpaceDE/>
        <w:autoSpaceDN/>
        <w:bidi w:val="0"/>
        <w:adjustRightInd w:val="0"/>
        <w:snapToGrid w:val="0"/>
        <w:spacing w:line="1000" w:lineRule="exact"/>
        <w:ind w:firstLine="0" w:firstLineChars="0"/>
        <w:jc w:val="both"/>
        <w:textAlignment w:val="auto"/>
        <w:outlineLvl w:val="9"/>
        <w:rPr>
          <w:rFonts w:hint="eastAsia" w:ascii="方正小标宋简体" w:hAnsi="方正小标宋简体" w:eastAsia="方正小标宋简体" w:cs="方正小标宋简体"/>
          <w:b w:val="0"/>
          <w:bCs w:val="0"/>
          <w:color w:val="auto"/>
          <w:spacing w:val="-6"/>
          <w:kern w:val="2"/>
          <w:sz w:val="52"/>
          <w:szCs w:val="52"/>
          <w:lang w:val="en-US" w:bidi="ar-SA"/>
        </w:rPr>
      </w:pPr>
      <w:r>
        <w:rPr>
          <w:rFonts w:hint="eastAsia" w:ascii="方正小标宋简体" w:hAnsi="方正小标宋简体" w:eastAsia="方正小标宋简体" w:cs="方正小标宋简体"/>
          <w:b/>
          <w:bCs/>
          <w:color w:val="auto"/>
          <w:spacing w:val="-6"/>
          <w:kern w:val="2"/>
          <w:sz w:val="52"/>
          <w:szCs w:val="52"/>
          <w:lang w:val="en-US" w:eastAsia="zh-CN" w:bidi="ar-SA"/>
        </w:rPr>
        <w:t>“十五五”实施方案</w:t>
      </w:r>
      <w:r>
        <w:rPr>
          <w:rFonts w:hint="eastAsia" w:ascii="方正小标宋简体" w:hAnsi="方正小标宋简体" w:eastAsia="方正小标宋简体" w:cs="方正小标宋简体"/>
          <w:b/>
          <w:bCs/>
          <w:color w:val="auto"/>
          <w:spacing w:val="-6"/>
          <w:kern w:val="2"/>
          <w:sz w:val="52"/>
          <w:szCs w:val="52"/>
          <w:lang w:val="en-US" w:bidi="ar-SA"/>
        </w:rPr>
        <w:t>（2026</w:t>
      </w:r>
      <w:r>
        <w:rPr>
          <w:rFonts w:hint="eastAsia" w:ascii="方正小标宋简体" w:hAnsi="方正小标宋简体" w:eastAsia="方正小标宋简体" w:cs="方正小标宋简体"/>
          <w:b/>
          <w:bCs/>
          <w:color w:val="auto"/>
          <w:spacing w:val="-6"/>
          <w:kern w:val="2"/>
          <w:sz w:val="52"/>
          <w:szCs w:val="52"/>
          <w:lang w:val="en-US" w:eastAsia="zh-CN" w:bidi="ar-SA"/>
        </w:rPr>
        <w:t>—</w:t>
      </w:r>
      <w:r>
        <w:rPr>
          <w:rFonts w:hint="eastAsia" w:ascii="方正小标宋简体" w:hAnsi="方正小标宋简体" w:eastAsia="方正小标宋简体" w:cs="方正小标宋简体"/>
          <w:b/>
          <w:bCs/>
          <w:color w:val="auto"/>
          <w:spacing w:val="-6"/>
          <w:kern w:val="2"/>
          <w:sz w:val="52"/>
          <w:szCs w:val="52"/>
          <w:lang w:val="en-US" w:bidi="ar-SA"/>
        </w:rPr>
        <w:t>2030年）</w:t>
      </w:r>
    </w:p>
    <w:p w14:paraId="7BCDE2C2">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06438631">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0A23BF4F">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67E0D636">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152FB38A">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64C99BFC">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4780BFD5">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4D881081">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7D03E716">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6B82ED00">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5D074409">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528CA25E">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2FE512B6">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0EBF8796">
      <w:pPr>
        <w:adjustRightInd/>
        <w:snapToGrid/>
        <w:spacing w:line="240" w:lineRule="auto"/>
        <w:ind w:firstLine="0" w:firstLineChars="0"/>
        <w:jc w:val="left"/>
        <w:rPr>
          <w:rFonts w:hint="eastAsia" w:ascii="仿宋" w:hAnsi="仿宋" w:eastAsia="仿宋" w:cs="仿宋"/>
          <w:b w:val="0"/>
          <w:bCs w:val="0"/>
          <w:spacing w:val="0"/>
          <w:kern w:val="0"/>
          <w:sz w:val="28"/>
          <w:szCs w:val="28"/>
          <w:lang w:val="zh-CN" w:bidi="zh-CN"/>
        </w:rPr>
      </w:pPr>
    </w:p>
    <w:p w14:paraId="41499BAE">
      <w:pPr>
        <w:widowControl/>
        <w:kinsoku w:val="0"/>
        <w:autoSpaceDE w:val="0"/>
        <w:autoSpaceDN w:val="0"/>
        <w:adjustRightInd w:val="0"/>
        <w:snapToGrid w:val="0"/>
        <w:spacing w:before="133" w:after="0" w:afterLines="-2147483648" w:line="189" w:lineRule="auto"/>
        <w:ind w:firstLine="0" w:firstLineChars="0"/>
        <w:jc w:val="center"/>
        <w:textAlignment w:val="baseline"/>
        <w:rPr>
          <w:rFonts w:hint="eastAsia" w:ascii="黑体" w:hAnsi="黑体" w:eastAsia="黑体" w:cs="黑体"/>
          <w:b w:val="0"/>
          <w:bCs w:val="0"/>
          <w:snapToGrid w:val="0"/>
          <w:color w:val="000000"/>
          <w:spacing w:val="-15"/>
          <w:w w:val="96"/>
          <w:kern w:val="0"/>
          <w:sz w:val="31"/>
          <w:szCs w:val="31"/>
          <w:lang w:val="en-US" w:eastAsia="zh-CN" w:bidi="ar-SA"/>
        </w:rPr>
      </w:pPr>
      <w:r>
        <w:rPr>
          <w:rFonts w:hint="eastAsia" w:ascii="黑体" w:hAnsi="黑体" w:eastAsia="黑体" w:cs="黑体"/>
          <w:b w:val="0"/>
          <w:bCs w:val="0"/>
          <w:snapToGrid w:val="0"/>
          <w:color w:val="000000"/>
          <w:spacing w:val="-15"/>
          <w:w w:val="96"/>
          <w:kern w:val="0"/>
          <w:sz w:val="31"/>
          <w:szCs w:val="31"/>
          <w:lang w:val="en-US" w:eastAsia="zh-CN" w:bidi="ar-SA"/>
        </w:rPr>
        <w:t>新疆维吾尔自治区和田地区墨玉县应急管理局</w:t>
      </w:r>
    </w:p>
    <w:p w14:paraId="7C59A8A7">
      <w:pPr>
        <w:widowControl/>
        <w:kinsoku w:val="0"/>
        <w:autoSpaceDE w:val="0"/>
        <w:autoSpaceDN w:val="0"/>
        <w:adjustRightInd w:val="0"/>
        <w:snapToGrid w:val="0"/>
        <w:spacing w:before="133" w:after="0" w:afterLines="-2147483648" w:line="189" w:lineRule="auto"/>
        <w:ind w:firstLine="0" w:firstLineChars="0"/>
        <w:jc w:val="center"/>
        <w:textAlignment w:val="baseline"/>
        <w:rPr>
          <w:rFonts w:hint="eastAsia" w:ascii="黑体" w:hAnsi="黑体" w:eastAsia="黑体" w:cs="黑体"/>
          <w:b w:val="0"/>
          <w:bCs w:val="0"/>
          <w:spacing w:val="0"/>
          <w:kern w:val="0"/>
          <w:sz w:val="21"/>
          <w:szCs w:val="28"/>
          <w:lang w:val="zh-CN" w:eastAsia="zh-CN" w:bidi="zh-CN"/>
        </w:rPr>
        <w:sectPr>
          <w:footerReference r:id="rId21" w:type="default"/>
          <w:pgSz w:w="11906" w:h="16838"/>
          <w:pgMar w:top="2098" w:right="1474" w:bottom="1984" w:left="1587" w:header="851" w:footer="992" w:gutter="0"/>
          <w:pgNumType w:fmt="decimal" w:start="1"/>
          <w:cols w:space="0" w:num="1"/>
          <w:rtlGutter w:val="0"/>
          <w:docGrid w:type="linesAndChars" w:linePitch="579" w:charSpace="-842"/>
        </w:sectPr>
      </w:pPr>
      <w:r>
        <w:rPr>
          <w:rFonts w:hint="default" w:ascii="Times New Roman" w:hAnsi="Times New Roman" w:eastAsia="黑体" w:cs="Times New Roman"/>
          <w:b w:val="0"/>
          <w:bCs w:val="0"/>
          <w:snapToGrid w:val="0"/>
          <w:color w:val="000000"/>
          <w:spacing w:val="-15"/>
          <w:w w:val="96"/>
          <w:kern w:val="0"/>
          <w:sz w:val="31"/>
          <w:szCs w:val="31"/>
          <w:lang w:val="en-US" w:eastAsia="zh-CN" w:bidi="ar-SA"/>
        </w:rPr>
        <w:t>2025</w:t>
      </w:r>
      <w:r>
        <w:rPr>
          <w:rFonts w:hint="eastAsia" w:ascii="黑体" w:hAnsi="黑体" w:eastAsia="黑体" w:cs="黑体"/>
          <w:b w:val="0"/>
          <w:bCs w:val="0"/>
          <w:snapToGrid w:val="0"/>
          <w:color w:val="000000"/>
          <w:spacing w:val="-15"/>
          <w:w w:val="96"/>
          <w:kern w:val="0"/>
          <w:sz w:val="31"/>
          <w:szCs w:val="31"/>
          <w:lang w:val="en-US" w:eastAsia="zh-CN" w:bidi="ar-SA"/>
        </w:rPr>
        <w:t>年</w:t>
      </w:r>
      <w:r>
        <w:rPr>
          <w:rFonts w:hint="default" w:ascii="Times New Roman" w:hAnsi="Times New Roman" w:eastAsia="黑体" w:cs="Times New Roman"/>
          <w:b w:val="0"/>
          <w:bCs w:val="0"/>
          <w:snapToGrid w:val="0"/>
          <w:color w:val="000000"/>
          <w:spacing w:val="-15"/>
          <w:w w:val="96"/>
          <w:kern w:val="0"/>
          <w:sz w:val="31"/>
          <w:szCs w:val="31"/>
          <w:lang w:val="en-US" w:eastAsia="zh-CN" w:bidi="ar-SA"/>
        </w:rPr>
        <w:t>12</w:t>
      </w:r>
      <w:r>
        <w:rPr>
          <w:rFonts w:hint="eastAsia" w:ascii="黑体" w:hAnsi="黑体" w:eastAsia="黑体" w:cs="黑体"/>
          <w:b w:val="0"/>
          <w:bCs w:val="0"/>
          <w:snapToGrid w:val="0"/>
          <w:color w:val="000000"/>
          <w:spacing w:val="-15"/>
          <w:w w:val="96"/>
          <w:kern w:val="0"/>
          <w:sz w:val="31"/>
          <w:szCs w:val="31"/>
          <w:lang w:val="en-US" w:eastAsia="zh-CN" w:bidi="ar-SA"/>
        </w:rPr>
        <w:t>月</w:t>
      </w:r>
    </w:p>
    <w:p w14:paraId="6880852A">
      <w:pPr>
        <w:spacing w:before="0" w:beforeLines="0" w:after="0" w:afterLines="0" w:line="240" w:lineRule="auto"/>
        <w:ind w:left="0" w:leftChars="0" w:right="0" w:rightChars="0" w:firstLine="0" w:firstLineChars="0"/>
        <w:jc w:val="both"/>
        <w:rPr>
          <w:rFonts w:hint="eastAsia" w:ascii="黑体" w:hAnsi="黑体" w:eastAsia="黑体" w:cs="黑体"/>
          <w:b w:val="0"/>
          <w:bCs w:val="0"/>
          <w:sz w:val="21"/>
          <w:szCs w:val="28"/>
          <w:lang w:val="zh-CN" w:eastAsia="zh-CN" w:bidi="zh-CN"/>
        </w:rPr>
        <w:sectPr>
          <w:footerReference r:id="rId22" w:type="default"/>
          <w:pgSz w:w="11906" w:h="16838"/>
          <w:pgMar w:top="2098" w:right="1474" w:bottom="1984" w:left="1587" w:header="851" w:footer="992" w:gutter="0"/>
          <w:pgNumType w:fmt="decimal" w:start="1"/>
          <w:cols w:space="0" w:num="1"/>
          <w:rtlGutter w:val="0"/>
          <w:docGrid w:type="linesAndChars" w:linePitch="579" w:charSpace="-842"/>
        </w:sectPr>
      </w:pPr>
    </w:p>
    <w:sdt>
      <w:sdtPr>
        <w:rPr>
          <w:rFonts w:ascii="宋体" w:hAnsi="宋体" w:eastAsia="宋体" w:cs="宋体"/>
          <w:b w:val="0"/>
          <w:bCs w:val="0"/>
          <w:sz w:val="28"/>
          <w:szCs w:val="28"/>
          <w:lang w:val="zh-CN" w:eastAsia="zh-CN" w:bidi="zh-CN"/>
        </w:rPr>
        <w:id w:val="147472154"/>
        <w15:color w:val="DBDBDB"/>
        <w:docPartObj>
          <w:docPartGallery w:val="Table of Contents"/>
          <w:docPartUnique/>
        </w:docPartObj>
      </w:sdtPr>
      <w:sdtEndPr>
        <w:rPr>
          <w:rFonts w:hint="eastAsia" w:ascii="黑体" w:hAnsi="黑体" w:eastAsia="黑体" w:cs="黑体"/>
          <w:b w:val="0"/>
          <w:bCs w:val="0"/>
          <w:snapToGrid w:val="0"/>
          <w:color w:val="000000"/>
          <w:spacing w:val="6"/>
          <w:kern w:val="0"/>
          <w:position w:val="1"/>
          <w:sz w:val="28"/>
          <w:szCs w:val="31"/>
          <w:lang w:val="en-US" w:eastAsia="zh-CN" w:bidi="ar-SA"/>
        </w:rPr>
      </w:sdtEndPr>
      <w:sdtContent>
        <w:p w14:paraId="4E1E8BC8">
          <w:pPr>
            <w:adjustRightInd/>
            <w:snapToGrid/>
            <w:spacing w:before="0" w:beforeLines="0" w:after="0" w:afterLines="0" w:line="240" w:lineRule="auto"/>
            <w:ind w:left="0" w:leftChars="0" w:right="0" w:rightChars="0" w:firstLine="0" w:firstLineChars="0"/>
            <w:jc w:val="center"/>
            <w:rPr>
              <w:rFonts w:ascii="宋体" w:hAnsi="宋体" w:cs="宋体"/>
              <w:b w:val="0"/>
              <w:bCs w:val="0"/>
              <w:spacing w:val="0"/>
              <w:kern w:val="0"/>
              <w:sz w:val="28"/>
              <w:szCs w:val="28"/>
              <w:lang w:val="zh-CN" w:bidi="zh-CN"/>
            </w:rPr>
          </w:pPr>
          <w:r>
            <w:rPr>
              <w:rFonts w:ascii="宋体" w:hAnsi="宋体" w:eastAsia="宋体" w:cs="宋体"/>
              <w:b w:val="0"/>
              <w:bCs w:val="0"/>
              <w:spacing w:val="0"/>
              <w:kern w:val="0"/>
              <w:sz w:val="28"/>
              <w:szCs w:val="28"/>
              <w:lang w:val="zh-CN" w:bidi="zh-CN"/>
            </w:rPr>
            <w:t>目</w:t>
          </w:r>
          <w:r>
            <w:rPr>
              <w:rFonts w:hint="eastAsia" w:ascii="宋体" w:hAnsi="宋体" w:eastAsia="宋体" w:cs="宋体"/>
              <w:b w:val="0"/>
              <w:bCs w:val="0"/>
              <w:spacing w:val="0"/>
              <w:kern w:val="0"/>
              <w:sz w:val="28"/>
              <w:szCs w:val="28"/>
              <w:lang w:val="en-US" w:eastAsia="zh-CN" w:bidi="zh-CN"/>
            </w:rPr>
            <w:t xml:space="preserve">  </w:t>
          </w:r>
          <w:r>
            <w:rPr>
              <w:rFonts w:ascii="宋体" w:hAnsi="宋体" w:eastAsia="宋体" w:cs="宋体"/>
              <w:b w:val="0"/>
              <w:bCs w:val="0"/>
              <w:spacing w:val="0"/>
              <w:kern w:val="0"/>
              <w:sz w:val="28"/>
              <w:szCs w:val="28"/>
              <w:lang w:val="zh-CN" w:bidi="zh-CN"/>
            </w:rPr>
            <w:t>录</w:t>
          </w:r>
        </w:p>
        <w:p w14:paraId="597634A3">
          <w:pPr>
            <w:widowControl w:val="0"/>
            <w:tabs>
              <w:tab w:val="right" w:leader="dot" w:pos="8845"/>
            </w:tabs>
            <w:rPr>
              <w:rFonts w:hint="eastAsia" w:ascii="仿宋" w:hAnsi="仿宋" w:eastAsia="仿宋" w:cs="仿宋"/>
              <w:b w:val="0"/>
              <w:bCs w:val="0"/>
              <w:sz w:val="28"/>
              <w:szCs w:val="28"/>
              <w:lang w:val="zh-CN" w:eastAsia="zh-CN" w:bidi="zh-CN"/>
            </w:rPr>
          </w:pPr>
          <w:r>
            <w:rPr>
              <w:rFonts w:hint="eastAsia" w:ascii="黑体" w:hAnsi="黑体" w:eastAsia="黑体" w:cs="黑体"/>
              <w:b w:val="0"/>
              <w:bCs w:val="0"/>
              <w:snapToGrid w:val="0"/>
              <w:color w:val="000000"/>
              <w:spacing w:val="6"/>
              <w:kern w:val="0"/>
              <w:position w:val="1"/>
              <w:sz w:val="28"/>
              <w:szCs w:val="31"/>
              <w:lang w:val="en-US" w:eastAsia="zh-CN" w:bidi="ar-SA"/>
            </w:rPr>
            <w:fldChar w:fldCharType="begin"/>
          </w:r>
          <w:r>
            <w:rPr>
              <w:rFonts w:hint="eastAsia" w:ascii="黑体" w:hAnsi="黑体" w:eastAsia="黑体" w:cs="黑体"/>
              <w:b w:val="0"/>
              <w:bCs w:val="0"/>
              <w:snapToGrid w:val="0"/>
              <w:color w:val="000000"/>
              <w:spacing w:val="6"/>
              <w:kern w:val="0"/>
              <w:position w:val="1"/>
              <w:sz w:val="28"/>
              <w:szCs w:val="31"/>
              <w:lang w:val="en-US" w:eastAsia="zh-CN" w:bidi="ar-SA"/>
            </w:rPr>
            <w:instrText xml:space="preserve">TOC \o "1-2" \h \u </w:instrText>
          </w:r>
          <w:r>
            <w:rPr>
              <w:rFonts w:hint="eastAsia" w:ascii="黑体" w:hAnsi="黑体" w:eastAsia="黑体" w:cs="黑体"/>
              <w:b w:val="0"/>
              <w:bCs w:val="0"/>
              <w:snapToGrid w:val="0"/>
              <w:color w:val="000000"/>
              <w:spacing w:val="6"/>
              <w:kern w:val="0"/>
              <w:position w:val="1"/>
              <w:sz w:val="28"/>
              <w:szCs w:val="31"/>
              <w:lang w:val="en-US" w:eastAsia="zh-CN" w:bidi="ar-SA"/>
            </w:rPr>
            <w:fldChar w:fldCharType="separate"/>
          </w:r>
          <w:r>
            <w:rPr>
              <w:rFonts w:hint="eastAsia" w:ascii="仿宋" w:hAnsi="仿宋" w:eastAsia="仿宋" w:cs="仿宋"/>
              <w:b/>
              <w:bCs/>
              <w:snapToGrid w:val="0"/>
              <w:color w:val="000000"/>
              <w:spacing w:val="6"/>
              <w:kern w:val="0"/>
              <w:position w:val="1"/>
              <w:sz w:val="28"/>
              <w:szCs w:val="28"/>
              <w:lang w:val="en-US" w:eastAsia="zh-CN" w:bidi="ar-SA"/>
            </w:rPr>
            <w:fldChar w:fldCharType="begin"/>
          </w:r>
          <w:r>
            <w:rPr>
              <w:rFonts w:hint="eastAsia" w:ascii="仿宋" w:hAnsi="仿宋" w:eastAsia="仿宋" w:cs="仿宋"/>
              <w:b/>
              <w:bCs/>
              <w:snapToGrid w:val="0"/>
              <w:spacing w:val="6"/>
              <w:kern w:val="0"/>
              <w:position w:val="1"/>
              <w:sz w:val="28"/>
              <w:szCs w:val="28"/>
              <w:lang w:val="en-US" w:eastAsia="zh-CN" w:bidi="ar-SA"/>
            </w:rPr>
            <w:instrText xml:space="preserve"> HYPERLINK \l _Toc9600 </w:instrText>
          </w:r>
          <w:r>
            <w:rPr>
              <w:rFonts w:hint="eastAsia" w:ascii="仿宋" w:hAnsi="仿宋" w:eastAsia="仿宋" w:cs="仿宋"/>
              <w:b/>
              <w:bCs/>
              <w:snapToGrid w:val="0"/>
              <w:spacing w:val="6"/>
              <w:kern w:val="0"/>
              <w:position w:val="1"/>
              <w:sz w:val="28"/>
              <w:szCs w:val="28"/>
              <w:lang w:val="en-US" w:eastAsia="zh-CN" w:bidi="ar-SA"/>
            </w:rPr>
            <w:fldChar w:fldCharType="separate"/>
          </w:r>
          <w:r>
            <w:rPr>
              <w:rFonts w:hint="eastAsia" w:ascii="仿宋" w:hAnsi="仿宋" w:eastAsia="仿宋" w:cs="仿宋"/>
              <w:b/>
              <w:bCs/>
              <w:snapToGrid w:val="0"/>
              <w:spacing w:val="3"/>
              <w:kern w:val="0"/>
              <w:sz w:val="28"/>
              <w:szCs w:val="28"/>
              <w:lang w:val="en-US" w:eastAsia="zh-CN" w:bidi="ar-SA"/>
            </w:rPr>
            <w:t>第一章  现状与形势</w:t>
          </w:r>
          <w:r>
            <w:rPr>
              <w:rFonts w:hint="eastAsia" w:ascii="仿宋" w:hAnsi="仿宋" w:eastAsia="仿宋" w:cs="仿宋"/>
              <w:b/>
              <w:bCs/>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_Toc9600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2</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bCs/>
              <w:snapToGrid w:val="0"/>
              <w:color w:val="000000"/>
              <w:spacing w:val="6"/>
              <w:kern w:val="0"/>
              <w:position w:val="1"/>
              <w:sz w:val="28"/>
              <w:szCs w:val="28"/>
              <w:lang w:val="en-US" w:eastAsia="zh-CN" w:bidi="ar-SA"/>
            </w:rPr>
            <w:fldChar w:fldCharType="end"/>
          </w:r>
        </w:p>
        <w:p w14:paraId="1672FB3C">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_Toc13382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9"/>
              <w:kern w:val="0"/>
              <w:sz w:val="28"/>
              <w:szCs w:val="28"/>
              <w:lang w:val="en-US" w:eastAsia="zh-CN" w:bidi="ar-SA"/>
            </w:rPr>
            <w:t>第一节  工作成效</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_Toc13382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2</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30217D54">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_Toc19802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9"/>
              <w:kern w:val="0"/>
              <w:sz w:val="28"/>
              <w:szCs w:val="28"/>
              <w:lang w:val="en-US" w:eastAsia="zh-CN" w:bidi="ar-SA"/>
            </w:rPr>
            <w:t>第二节  存在的问题</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_Toc19802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7</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4B38F481">
          <w:pPr>
            <w:widowControl w:val="0"/>
            <w:tabs>
              <w:tab w:val="right" w:leader="dot" w:pos="8845"/>
            </w:tabs>
            <w:ind w:firstLine="864" w:firstLineChars="300"/>
            <w:jc w:val="both"/>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_Toc30298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3"/>
              <w:kern w:val="0"/>
              <w:sz w:val="28"/>
              <w:szCs w:val="28"/>
              <w:lang w:val="en-US" w:eastAsia="zh-CN" w:bidi="ar-SA"/>
            </w:rPr>
            <w:t xml:space="preserve">第三节 </w:t>
          </w:r>
          <w:r>
            <w:rPr>
              <w:rFonts w:hint="eastAsia" w:ascii="仿宋" w:hAnsi="仿宋" w:eastAsia="仿宋" w:cs="仿宋"/>
              <w:b w:val="0"/>
              <w:bCs w:val="0"/>
              <w:snapToGrid w:val="0"/>
              <w:spacing w:val="9"/>
              <w:kern w:val="0"/>
              <w:sz w:val="28"/>
              <w:szCs w:val="28"/>
              <w:lang w:val="en-US" w:eastAsia="zh-CN" w:bidi="ar-SA"/>
            </w:rPr>
            <w:t xml:space="preserve"> 发展机遇</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_Toc30298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8</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2835FC41">
          <w:pPr>
            <w:widowControl w:val="0"/>
            <w:tabs>
              <w:tab w:val="right" w:leader="dot" w:pos="8845"/>
            </w:tabs>
            <w:rPr>
              <w:rFonts w:hint="eastAsia" w:ascii="仿宋" w:hAnsi="仿宋" w:eastAsia="仿宋" w:cs="仿宋"/>
              <w:b w:val="0"/>
              <w:bCs w:val="0"/>
              <w:sz w:val="28"/>
              <w:szCs w:val="28"/>
              <w:lang w:val="zh-CN" w:eastAsia="zh-CN" w:bidi="zh-CN"/>
            </w:rPr>
          </w:pPr>
          <w:r>
            <w:rPr>
              <w:rFonts w:hint="eastAsia" w:ascii="仿宋" w:hAnsi="仿宋" w:eastAsia="仿宋" w:cs="仿宋"/>
              <w:b/>
              <w:bCs/>
              <w:snapToGrid w:val="0"/>
              <w:color w:val="000000"/>
              <w:spacing w:val="6"/>
              <w:kern w:val="0"/>
              <w:position w:val="1"/>
              <w:sz w:val="28"/>
              <w:szCs w:val="28"/>
              <w:lang w:val="en-US" w:eastAsia="zh-CN" w:bidi="ar-SA"/>
            </w:rPr>
            <w:fldChar w:fldCharType="begin"/>
          </w:r>
          <w:r>
            <w:rPr>
              <w:rFonts w:hint="eastAsia" w:ascii="仿宋" w:hAnsi="仿宋" w:eastAsia="仿宋" w:cs="仿宋"/>
              <w:b/>
              <w:bCs/>
              <w:snapToGrid w:val="0"/>
              <w:spacing w:val="6"/>
              <w:kern w:val="0"/>
              <w:position w:val="1"/>
              <w:sz w:val="28"/>
              <w:szCs w:val="28"/>
              <w:lang w:val="en-US" w:eastAsia="zh-CN" w:bidi="ar-SA"/>
            </w:rPr>
            <w:instrText xml:space="preserve"> HYPERLINK \l _Toc4434 </w:instrText>
          </w:r>
          <w:r>
            <w:rPr>
              <w:rFonts w:hint="eastAsia" w:ascii="仿宋" w:hAnsi="仿宋" w:eastAsia="仿宋" w:cs="仿宋"/>
              <w:b/>
              <w:bCs/>
              <w:snapToGrid w:val="0"/>
              <w:spacing w:val="6"/>
              <w:kern w:val="0"/>
              <w:position w:val="1"/>
              <w:sz w:val="28"/>
              <w:szCs w:val="28"/>
              <w:lang w:val="en-US" w:eastAsia="zh-CN" w:bidi="ar-SA"/>
            </w:rPr>
            <w:fldChar w:fldCharType="separate"/>
          </w:r>
          <w:r>
            <w:rPr>
              <w:rFonts w:hint="eastAsia" w:ascii="仿宋" w:hAnsi="仿宋" w:eastAsia="仿宋" w:cs="仿宋"/>
              <w:b/>
              <w:bCs/>
              <w:snapToGrid w:val="0"/>
              <w:spacing w:val="6"/>
              <w:kern w:val="0"/>
              <w:position w:val="1"/>
              <w:sz w:val="28"/>
              <w:szCs w:val="28"/>
              <w:lang w:val="en-US" w:eastAsia="zh-CN" w:bidi="ar-SA"/>
            </w:rPr>
            <w:t>第二章  指导思想、基本原则和规划目</w:t>
          </w:r>
          <w:r>
            <w:rPr>
              <w:rFonts w:hint="eastAsia" w:ascii="仿宋" w:hAnsi="仿宋" w:eastAsia="仿宋" w:cs="仿宋"/>
              <w:b/>
              <w:bCs/>
              <w:sz w:val="28"/>
              <w:szCs w:val="28"/>
              <w:lang w:val="en-US" w:eastAsia="zh-CN" w:bidi="ar-SA"/>
            </w:rPr>
            <w:t>标</w:t>
          </w:r>
          <w:r>
            <w:rPr>
              <w:rFonts w:hint="eastAsia" w:ascii="仿宋" w:hAnsi="仿宋" w:eastAsia="仿宋" w:cs="仿宋"/>
              <w:b/>
              <w:bCs/>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_Toc4434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10</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bCs/>
              <w:snapToGrid w:val="0"/>
              <w:color w:val="000000"/>
              <w:spacing w:val="6"/>
              <w:kern w:val="0"/>
              <w:position w:val="1"/>
              <w:sz w:val="28"/>
              <w:szCs w:val="28"/>
              <w:lang w:val="en-US" w:eastAsia="zh-CN" w:bidi="ar-SA"/>
            </w:rPr>
            <w:fldChar w:fldCharType="end"/>
          </w:r>
        </w:p>
        <w:p w14:paraId="4C4DC323">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_Toc26222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3"/>
              <w:kern w:val="0"/>
              <w:sz w:val="28"/>
              <w:szCs w:val="28"/>
              <w:lang w:val="en-US" w:eastAsia="zh-CN" w:bidi="ar-SA"/>
            </w:rPr>
            <w:t>第一节   指导思想</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_Toc26222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10</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2FEE66AB">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_Toc32062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3"/>
              <w:kern w:val="0"/>
              <w:sz w:val="28"/>
              <w:szCs w:val="28"/>
              <w:lang w:val="en-US" w:eastAsia="zh-CN" w:bidi="ar-SA"/>
            </w:rPr>
            <w:t>第二节   基本原则</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_Toc32062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10</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09E05890">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_Toc7636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3"/>
              <w:kern w:val="0"/>
              <w:sz w:val="28"/>
              <w:szCs w:val="28"/>
              <w:lang w:val="en-US" w:eastAsia="zh-CN" w:bidi="ar-SA"/>
            </w:rPr>
            <w:t>第三节   规划目标</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_Toc7636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11</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173ECA12">
          <w:pPr>
            <w:widowControl w:val="0"/>
            <w:tabs>
              <w:tab w:val="right" w:leader="dot" w:pos="8845"/>
            </w:tabs>
            <w:rPr>
              <w:rFonts w:hint="eastAsia" w:ascii="仿宋" w:hAnsi="仿宋" w:eastAsia="仿宋" w:cs="仿宋"/>
              <w:b w:val="0"/>
              <w:bCs w:val="0"/>
              <w:sz w:val="28"/>
              <w:szCs w:val="28"/>
              <w:lang w:val="zh-CN" w:eastAsia="zh-CN" w:bidi="zh-CN"/>
            </w:rPr>
          </w:pPr>
          <w:r>
            <w:rPr>
              <w:rFonts w:hint="eastAsia" w:ascii="仿宋" w:hAnsi="仿宋" w:eastAsia="仿宋" w:cs="仿宋"/>
              <w:b/>
              <w:bCs/>
              <w:snapToGrid w:val="0"/>
              <w:color w:val="000000"/>
              <w:spacing w:val="6"/>
              <w:kern w:val="0"/>
              <w:position w:val="1"/>
              <w:sz w:val="28"/>
              <w:szCs w:val="28"/>
              <w:lang w:val="en-US" w:eastAsia="zh-CN" w:bidi="ar-SA"/>
            </w:rPr>
            <w:fldChar w:fldCharType="begin"/>
          </w:r>
          <w:r>
            <w:rPr>
              <w:rFonts w:hint="eastAsia" w:ascii="仿宋" w:hAnsi="仿宋" w:eastAsia="仿宋" w:cs="仿宋"/>
              <w:b/>
              <w:bCs/>
              <w:snapToGrid w:val="0"/>
              <w:spacing w:val="6"/>
              <w:kern w:val="0"/>
              <w:position w:val="1"/>
              <w:sz w:val="28"/>
              <w:szCs w:val="28"/>
              <w:lang w:val="en-US" w:eastAsia="zh-CN" w:bidi="ar-SA"/>
            </w:rPr>
            <w:instrText xml:space="preserve"> HYPERLINK \l _Toc22191 </w:instrText>
          </w:r>
          <w:r>
            <w:rPr>
              <w:rFonts w:hint="eastAsia" w:ascii="仿宋" w:hAnsi="仿宋" w:eastAsia="仿宋" w:cs="仿宋"/>
              <w:b/>
              <w:bCs/>
              <w:snapToGrid w:val="0"/>
              <w:spacing w:val="6"/>
              <w:kern w:val="0"/>
              <w:position w:val="1"/>
              <w:sz w:val="28"/>
              <w:szCs w:val="28"/>
              <w:lang w:val="en-US" w:eastAsia="zh-CN" w:bidi="ar-SA"/>
            </w:rPr>
            <w:fldChar w:fldCharType="separate"/>
          </w:r>
          <w:r>
            <w:rPr>
              <w:rFonts w:hint="eastAsia" w:ascii="仿宋" w:hAnsi="仿宋" w:eastAsia="仿宋" w:cs="仿宋"/>
              <w:b/>
              <w:bCs/>
              <w:snapToGrid w:val="0"/>
              <w:spacing w:val="3"/>
              <w:kern w:val="0"/>
              <w:sz w:val="28"/>
              <w:szCs w:val="28"/>
              <w:lang w:val="en-US" w:eastAsia="zh-CN" w:bidi="ar-SA"/>
            </w:rPr>
            <w:t>第三章  主要任务</w:t>
          </w:r>
          <w:r>
            <w:rPr>
              <w:rFonts w:hint="eastAsia" w:ascii="仿宋" w:hAnsi="仿宋" w:eastAsia="仿宋" w:cs="仿宋"/>
              <w:b/>
              <w:bCs/>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_Toc22191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12</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bCs/>
              <w:snapToGrid w:val="0"/>
              <w:color w:val="000000"/>
              <w:spacing w:val="6"/>
              <w:kern w:val="0"/>
              <w:position w:val="1"/>
              <w:sz w:val="28"/>
              <w:szCs w:val="28"/>
              <w:lang w:val="en-US" w:eastAsia="zh-CN" w:bidi="ar-SA"/>
            </w:rPr>
            <w:fldChar w:fldCharType="end"/>
          </w:r>
        </w:p>
        <w:p w14:paraId="52922742">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_Toc16186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3"/>
              <w:kern w:val="0"/>
              <w:sz w:val="28"/>
              <w:szCs w:val="28"/>
              <w:lang w:val="en-US" w:eastAsia="zh-CN" w:bidi="ar-SA"/>
            </w:rPr>
            <w:t>第一节   推进信息化建设</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_Toc16186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12</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7A77970F">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_Toc25462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3"/>
              <w:kern w:val="0"/>
              <w:sz w:val="28"/>
              <w:szCs w:val="28"/>
              <w:lang w:val="en-US" w:eastAsia="zh-CN" w:bidi="ar-SA"/>
            </w:rPr>
            <w:t>第二节   推进应急管理数字化管理与信息共享</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_Toc25462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13</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6731C6FB">
          <w:pPr>
            <w:widowControl w:val="0"/>
            <w:tabs>
              <w:tab w:val="right" w:leader="dot" w:pos="8845"/>
            </w:tabs>
            <w:ind w:firstLine="864" w:firstLineChars="300"/>
            <w:rPr>
              <w:rFonts w:hint="default" w:ascii="仿宋" w:hAnsi="仿宋" w:eastAsia="仿宋" w:cs="仿宋"/>
              <w:b w:val="0"/>
              <w:bCs w:val="0"/>
              <w:sz w:val="28"/>
              <w:szCs w:val="28"/>
              <w:lang w:val="en-US"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_Toc22430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3"/>
              <w:kern w:val="0"/>
              <w:sz w:val="28"/>
              <w:szCs w:val="28"/>
              <w:lang w:val="en-US" w:eastAsia="zh-CN" w:bidi="ar-SA"/>
            </w:rPr>
            <w:t>第三节   推进基层应急信息化建设</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r>
            <w:rPr>
              <w:rFonts w:hint="eastAsia" w:cs="仿宋"/>
              <w:b w:val="0"/>
              <w:bCs w:val="0"/>
              <w:snapToGrid w:val="0"/>
              <w:color w:val="000000"/>
              <w:spacing w:val="6"/>
              <w:kern w:val="0"/>
              <w:position w:val="1"/>
              <w:sz w:val="28"/>
              <w:szCs w:val="28"/>
              <w:lang w:val="en-US" w:eastAsia="zh-CN" w:bidi="ar-SA"/>
            </w:rPr>
            <w:t>14</w:t>
          </w:r>
        </w:p>
        <w:p w14:paraId="505BEEAF">
          <w:pPr>
            <w:widowControl w:val="0"/>
            <w:tabs>
              <w:tab w:val="right" w:leader="dot" w:pos="8845"/>
            </w:tabs>
            <w:rPr>
              <w:rFonts w:hint="eastAsia" w:ascii="仿宋" w:hAnsi="仿宋" w:eastAsia="仿宋" w:cs="仿宋"/>
              <w:b/>
              <w:bCs/>
              <w:sz w:val="28"/>
              <w:szCs w:val="28"/>
              <w:lang w:val="zh-CN" w:eastAsia="zh-CN" w:bidi="zh-CN"/>
            </w:rPr>
          </w:pPr>
          <w:r>
            <w:rPr>
              <w:rFonts w:hint="eastAsia" w:ascii="仿宋" w:hAnsi="仿宋" w:eastAsia="仿宋" w:cs="仿宋"/>
              <w:b/>
              <w:bCs/>
              <w:snapToGrid w:val="0"/>
              <w:color w:val="000000"/>
              <w:spacing w:val="6"/>
              <w:kern w:val="0"/>
              <w:position w:val="1"/>
              <w:sz w:val="28"/>
              <w:szCs w:val="28"/>
              <w:lang w:val="en-US" w:eastAsia="zh-CN" w:bidi="ar-SA"/>
            </w:rPr>
            <w:fldChar w:fldCharType="begin"/>
          </w:r>
          <w:r>
            <w:rPr>
              <w:rFonts w:hint="eastAsia" w:ascii="仿宋" w:hAnsi="仿宋" w:eastAsia="仿宋" w:cs="仿宋"/>
              <w:b/>
              <w:bCs/>
              <w:snapToGrid w:val="0"/>
              <w:spacing w:val="6"/>
              <w:kern w:val="0"/>
              <w:position w:val="1"/>
              <w:sz w:val="28"/>
              <w:szCs w:val="28"/>
              <w:lang w:val="en-US" w:eastAsia="zh-CN" w:bidi="ar-SA"/>
            </w:rPr>
            <w:instrText xml:space="preserve"> HYPERLINK \l _Toc10558 </w:instrText>
          </w:r>
          <w:r>
            <w:rPr>
              <w:rFonts w:hint="eastAsia" w:ascii="仿宋" w:hAnsi="仿宋" w:eastAsia="仿宋" w:cs="仿宋"/>
              <w:b/>
              <w:bCs/>
              <w:snapToGrid w:val="0"/>
              <w:spacing w:val="6"/>
              <w:kern w:val="0"/>
              <w:position w:val="1"/>
              <w:sz w:val="28"/>
              <w:szCs w:val="28"/>
              <w:lang w:val="en-US" w:eastAsia="zh-CN" w:bidi="ar-SA"/>
            </w:rPr>
            <w:fldChar w:fldCharType="separate"/>
          </w:r>
          <w:r>
            <w:rPr>
              <w:rFonts w:hint="eastAsia" w:ascii="仿宋" w:hAnsi="仿宋" w:eastAsia="仿宋" w:cs="仿宋"/>
              <w:b/>
              <w:bCs/>
              <w:snapToGrid w:val="0"/>
              <w:spacing w:val="6"/>
              <w:kern w:val="0"/>
              <w:position w:val="1"/>
              <w:sz w:val="28"/>
              <w:szCs w:val="28"/>
              <w:lang w:val="en-US" w:eastAsia="zh-CN" w:bidi="ar-SA"/>
            </w:rPr>
            <w:t>第四章  重点工程</w:t>
          </w:r>
          <w:r>
            <w:rPr>
              <w:rFonts w:hint="eastAsia" w:ascii="仿宋" w:hAnsi="仿宋" w:eastAsia="仿宋" w:cs="仿宋"/>
              <w:b/>
              <w:bCs/>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_Toc10558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14</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bCs/>
              <w:snapToGrid w:val="0"/>
              <w:color w:val="000000"/>
              <w:spacing w:val="6"/>
              <w:kern w:val="0"/>
              <w:position w:val="1"/>
              <w:sz w:val="28"/>
              <w:szCs w:val="28"/>
              <w:lang w:val="en-US" w:eastAsia="zh-CN" w:bidi="ar-SA"/>
            </w:rPr>
            <w:fldChar w:fldCharType="end"/>
          </w:r>
        </w:p>
        <w:p w14:paraId="7D284BB0">
          <w:pPr>
            <w:widowControl w:val="0"/>
            <w:tabs>
              <w:tab w:val="right" w:leader="dot" w:pos="8845"/>
            </w:tabs>
            <w:rPr>
              <w:rFonts w:hint="eastAsia" w:ascii="仿宋" w:hAnsi="仿宋" w:eastAsia="仿宋" w:cs="仿宋"/>
              <w:b/>
              <w:bCs/>
              <w:sz w:val="28"/>
              <w:szCs w:val="28"/>
              <w:lang w:val="zh-CN" w:eastAsia="zh-CN" w:bidi="zh-CN"/>
            </w:rPr>
          </w:pPr>
          <w:r>
            <w:rPr>
              <w:rFonts w:hint="eastAsia" w:ascii="仿宋" w:hAnsi="仿宋" w:eastAsia="仿宋" w:cs="仿宋"/>
              <w:b/>
              <w:bCs/>
              <w:snapToGrid w:val="0"/>
              <w:color w:val="000000"/>
              <w:spacing w:val="6"/>
              <w:kern w:val="0"/>
              <w:position w:val="1"/>
              <w:sz w:val="28"/>
              <w:szCs w:val="28"/>
              <w:lang w:val="en-US" w:eastAsia="zh-CN" w:bidi="ar-SA"/>
            </w:rPr>
            <w:fldChar w:fldCharType="begin"/>
          </w:r>
          <w:r>
            <w:rPr>
              <w:rFonts w:hint="eastAsia" w:ascii="仿宋" w:hAnsi="仿宋" w:eastAsia="仿宋" w:cs="仿宋"/>
              <w:b/>
              <w:bCs/>
              <w:snapToGrid w:val="0"/>
              <w:spacing w:val="6"/>
              <w:kern w:val="0"/>
              <w:position w:val="1"/>
              <w:sz w:val="28"/>
              <w:szCs w:val="28"/>
              <w:lang w:val="en-US" w:eastAsia="zh-CN" w:bidi="ar-SA"/>
            </w:rPr>
            <w:instrText xml:space="preserve"> HYPERLINK \l _Toc17454 </w:instrText>
          </w:r>
          <w:r>
            <w:rPr>
              <w:rFonts w:hint="eastAsia" w:ascii="仿宋" w:hAnsi="仿宋" w:eastAsia="仿宋" w:cs="仿宋"/>
              <w:b/>
              <w:bCs/>
              <w:snapToGrid w:val="0"/>
              <w:spacing w:val="6"/>
              <w:kern w:val="0"/>
              <w:position w:val="1"/>
              <w:sz w:val="28"/>
              <w:szCs w:val="28"/>
              <w:lang w:val="en-US" w:eastAsia="zh-CN" w:bidi="ar-SA"/>
            </w:rPr>
            <w:fldChar w:fldCharType="separate"/>
          </w:r>
          <w:r>
            <w:rPr>
              <w:rFonts w:hint="eastAsia" w:ascii="仿宋" w:hAnsi="仿宋" w:eastAsia="仿宋" w:cs="仿宋"/>
              <w:b/>
              <w:bCs/>
              <w:snapToGrid w:val="0"/>
              <w:spacing w:val="6"/>
              <w:kern w:val="0"/>
              <w:position w:val="1"/>
              <w:sz w:val="28"/>
              <w:szCs w:val="28"/>
              <w:lang w:val="en-US" w:eastAsia="zh-CN" w:bidi="ar-SA"/>
            </w:rPr>
            <w:t>第五章  保障措施</w:t>
          </w:r>
          <w:r>
            <w:rPr>
              <w:rFonts w:hint="eastAsia" w:ascii="仿宋" w:hAnsi="仿宋" w:eastAsia="仿宋" w:cs="仿宋"/>
              <w:b/>
              <w:bCs/>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_Toc17454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16</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bCs/>
              <w:snapToGrid w:val="0"/>
              <w:color w:val="000000"/>
              <w:spacing w:val="6"/>
              <w:kern w:val="0"/>
              <w:position w:val="1"/>
              <w:sz w:val="28"/>
              <w:szCs w:val="28"/>
              <w:lang w:val="en-US" w:eastAsia="zh-CN" w:bidi="ar-SA"/>
            </w:rPr>
            <w:fldChar w:fldCharType="end"/>
          </w:r>
        </w:p>
        <w:p w14:paraId="2926F95B">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_Toc10864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6"/>
              <w:kern w:val="0"/>
              <w:position w:val="1"/>
              <w:sz w:val="28"/>
              <w:szCs w:val="28"/>
              <w:lang w:val="en-US" w:eastAsia="zh-CN" w:bidi="ar-SA"/>
            </w:rPr>
            <w:t xml:space="preserve">第一节   </w:t>
          </w:r>
          <w:r>
            <w:rPr>
              <w:rFonts w:hint="eastAsia" w:ascii="仿宋" w:hAnsi="仿宋" w:eastAsia="仿宋" w:cs="仿宋"/>
              <w:b w:val="0"/>
              <w:bCs w:val="0"/>
              <w:snapToGrid w:val="0"/>
              <w:spacing w:val="9"/>
              <w:kern w:val="0"/>
              <w:sz w:val="28"/>
              <w:szCs w:val="28"/>
              <w:lang w:val="en-US" w:eastAsia="zh-CN" w:bidi="ar-SA"/>
            </w:rPr>
            <w:t>组织保障</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_Toc10864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16</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5F1C6FD0">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_Toc2136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6"/>
              <w:kern w:val="0"/>
              <w:position w:val="1"/>
              <w:sz w:val="28"/>
              <w:szCs w:val="28"/>
              <w:lang w:val="en-US" w:eastAsia="zh-CN" w:bidi="ar-SA"/>
            </w:rPr>
            <w:t xml:space="preserve">第二节   </w:t>
          </w:r>
          <w:r>
            <w:rPr>
              <w:rFonts w:hint="eastAsia" w:ascii="仿宋" w:hAnsi="仿宋" w:eastAsia="仿宋" w:cs="仿宋"/>
              <w:b w:val="0"/>
              <w:bCs w:val="0"/>
              <w:snapToGrid w:val="0"/>
              <w:spacing w:val="9"/>
              <w:kern w:val="0"/>
              <w:sz w:val="28"/>
              <w:szCs w:val="28"/>
              <w:lang w:val="en-US" w:eastAsia="zh-CN" w:bidi="ar-SA"/>
            </w:rPr>
            <w:t>完善体制机制，健全制度体系</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_Toc2136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16</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617E1DFC">
          <w:pPr>
            <w:widowControl w:val="0"/>
            <w:tabs>
              <w:tab w:val="right" w:leader="dot" w:pos="8845"/>
            </w:tabs>
            <w:ind w:firstLine="864" w:firstLineChars="300"/>
            <w:rPr>
              <w:rFonts w:hint="eastAsia" w:ascii="仿宋" w:hAnsi="仿宋" w:eastAsia="仿宋" w:cs="仿宋"/>
              <w:b w:val="0"/>
              <w:bCs w:val="0"/>
              <w:sz w:val="28"/>
              <w:szCs w:val="28"/>
              <w:lang w:val="zh-CN"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_Toc12427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6"/>
              <w:kern w:val="0"/>
              <w:position w:val="1"/>
              <w:sz w:val="28"/>
              <w:szCs w:val="28"/>
              <w:lang w:val="en-US" w:eastAsia="zh-CN" w:bidi="ar-SA"/>
            </w:rPr>
            <w:t xml:space="preserve">第三节   </w:t>
          </w:r>
          <w:r>
            <w:rPr>
              <w:rFonts w:hint="eastAsia" w:ascii="仿宋" w:hAnsi="仿宋" w:eastAsia="仿宋" w:cs="仿宋"/>
              <w:b w:val="0"/>
              <w:bCs w:val="0"/>
              <w:snapToGrid w:val="0"/>
              <w:spacing w:val="9"/>
              <w:kern w:val="0"/>
              <w:sz w:val="28"/>
              <w:szCs w:val="28"/>
              <w:lang w:val="en-US" w:eastAsia="zh-CN" w:bidi="ar-SA"/>
            </w:rPr>
            <w:t>加大资金投入，强化要素保障</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_Toc12427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16</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p>
        <w:p w14:paraId="2F64A8F4">
          <w:pPr>
            <w:widowControl w:val="0"/>
            <w:tabs>
              <w:tab w:val="right" w:leader="dot" w:pos="8845"/>
            </w:tabs>
            <w:ind w:firstLine="864" w:firstLineChars="300"/>
            <w:rPr>
              <w:rFonts w:hint="default" w:ascii="宋体" w:hAnsi="宋体" w:eastAsia="仿宋" w:cs="宋体"/>
              <w:b w:val="0"/>
              <w:bCs w:val="0"/>
              <w:sz w:val="32"/>
              <w:szCs w:val="28"/>
              <w:lang w:val="en-US" w:eastAsia="zh-CN" w:bidi="zh-CN"/>
            </w:rPr>
          </w:pPr>
          <w:r>
            <w:rPr>
              <w:rFonts w:hint="eastAsia" w:ascii="仿宋" w:hAnsi="仿宋" w:eastAsia="仿宋" w:cs="仿宋"/>
              <w:b w:val="0"/>
              <w:bCs w:val="0"/>
              <w:snapToGrid w:val="0"/>
              <w:color w:val="000000"/>
              <w:spacing w:val="6"/>
              <w:kern w:val="0"/>
              <w:position w:val="1"/>
              <w:sz w:val="28"/>
              <w:szCs w:val="28"/>
              <w:lang w:val="en-US" w:eastAsia="zh-CN" w:bidi="ar-SA"/>
            </w:rPr>
            <w:fldChar w:fldCharType="begin"/>
          </w:r>
          <w:r>
            <w:rPr>
              <w:rFonts w:hint="eastAsia" w:ascii="仿宋" w:hAnsi="仿宋" w:eastAsia="仿宋" w:cs="仿宋"/>
              <w:b w:val="0"/>
              <w:bCs w:val="0"/>
              <w:snapToGrid w:val="0"/>
              <w:spacing w:val="6"/>
              <w:kern w:val="0"/>
              <w:position w:val="1"/>
              <w:sz w:val="28"/>
              <w:szCs w:val="28"/>
              <w:lang w:val="en-US" w:eastAsia="zh-CN" w:bidi="ar-SA"/>
            </w:rPr>
            <w:instrText xml:space="preserve"> HYPERLINK \l _Toc22112 </w:instrText>
          </w:r>
          <w:r>
            <w:rPr>
              <w:rFonts w:hint="eastAsia" w:ascii="仿宋" w:hAnsi="仿宋" w:eastAsia="仿宋" w:cs="仿宋"/>
              <w:b w:val="0"/>
              <w:bCs w:val="0"/>
              <w:snapToGrid w:val="0"/>
              <w:spacing w:val="6"/>
              <w:kern w:val="0"/>
              <w:position w:val="1"/>
              <w:sz w:val="28"/>
              <w:szCs w:val="28"/>
              <w:lang w:val="en-US" w:eastAsia="zh-CN" w:bidi="ar-SA"/>
            </w:rPr>
            <w:fldChar w:fldCharType="separate"/>
          </w:r>
          <w:r>
            <w:rPr>
              <w:rFonts w:hint="eastAsia" w:ascii="仿宋" w:hAnsi="仿宋" w:eastAsia="仿宋" w:cs="仿宋"/>
              <w:b w:val="0"/>
              <w:bCs w:val="0"/>
              <w:snapToGrid w:val="0"/>
              <w:spacing w:val="6"/>
              <w:kern w:val="0"/>
              <w:position w:val="1"/>
              <w:sz w:val="28"/>
              <w:szCs w:val="28"/>
              <w:lang w:val="en-US" w:eastAsia="zh-CN" w:bidi="ar-SA"/>
            </w:rPr>
            <w:t xml:space="preserve">第四节   </w:t>
          </w:r>
          <w:r>
            <w:rPr>
              <w:rFonts w:hint="eastAsia" w:ascii="仿宋" w:hAnsi="仿宋" w:eastAsia="仿宋" w:cs="仿宋"/>
              <w:b w:val="0"/>
              <w:bCs w:val="0"/>
              <w:snapToGrid w:val="0"/>
              <w:spacing w:val="9"/>
              <w:kern w:val="0"/>
              <w:sz w:val="28"/>
              <w:szCs w:val="28"/>
              <w:lang w:val="en-US" w:eastAsia="zh-CN" w:bidi="ar-SA"/>
            </w:rPr>
            <w:t>夯实基础支撑，强化科技信息保障</w:t>
          </w:r>
          <w:r>
            <w:rPr>
              <w:rFonts w:hint="eastAsia" w:ascii="仿宋" w:hAnsi="仿宋" w:eastAsia="仿宋" w:cs="仿宋"/>
              <w:b w:val="0"/>
              <w:bCs w:val="0"/>
              <w:sz w:val="28"/>
              <w:szCs w:val="28"/>
              <w:lang w:val="zh-CN" w:eastAsia="zh-CN" w:bidi="zh-CN"/>
            </w:rPr>
            <w:tab/>
          </w:r>
          <w:r>
            <w:rPr>
              <w:rFonts w:hint="eastAsia" w:ascii="仿宋" w:hAnsi="仿宋" w:eastAsia="仿宋" w:cs="仿宋"/>
              <w:b w:val="0"/>
              <w:bCs w:val="0"/>
              <w:sz w:val="28"/>
              <w:szCs w:val="28"/>
              <w:lang w:val="zh-CN" w:eastAsia="zh-CN" w:bidi="zh-CN"/>
            </w:rPr>
            <w:fldChar w:fldCharType="begin"/>
          </w:r>
          <w:r>
            <w:rPr>
              <w:rFonts w:hint="eastAsia" w:ascii="仿宋" w:hAnsi="仿宋" w:eastAsia="仿宋" w:cs="仿宋"/>
              <w:b w:val="0"/>
              <w:bCs w:val="0"/>
              <w:sz w:val="28"/>
              <w:szCs w:val="28"/>
              <w:lang w:val="zh-CN" w:eastAsia="zh-CN" w:bidi="zh-CN"/>
            </w:rPr>
            <w:instrText xml:space="preserve"> PAGEREF _Toc22112 \h </w:instrText>
          </w:r>
          <w:r>
            <w:rPr>
              <w:rFonts w:hint="eastAsia" w:ascii="仿宋" w:hAnsi="仿宋" w:eastAsia="仿宋" w:cs="仿宋"/>
              <w:b w:val="0"/>
              <w:bCs w:val="0"/>
              <w:sz w:val="28"/>
              <w:szCs w:val="28"/>
              <w:lang w:val="zh-CN" w:eastAsia="zh-CN" w:bidi="zh-CN"/>
            </w:rPr>
            <w:fldChar w:fldCharType="separate"/>
          </w:r>
          <w:r>
            <w:rPr>
              <w:rFonts w:hint="eastAsia" w:ascii="仿宋" w:hAnsi="仿宋" w:eastAsia="仿宋" w:cs="仿宋"/>
              <w:b w:val="0"/>
              <w:bCs w:val="0"/>
              <w:sz w:val="28"/>
              <w:szCs w:val="28"/>
              <w:lang w:val="zh-CN" w:eastAsia="zh-CN" w:bidi="zh-CN"/>
            </w:rPr>
            <w:t>16</w:t>
          </w:r>
          <w:r>
            <w:rPr>
              <w:rFonts w:hint="eastAsia" w:ascii="仿宋" w:hAnsi="仿宋" w:eastAsia="仿宋" w:cs="仿宋"/>
              <w:b w:val="0"/>
              <w:bCs w:val="0"/>
              <w:sz w:val="28"/>
              <w:szCs w:val="28"/>
              <w:lang w:val="zh-CN" w:eastAsia="zh-CN" w:bidi="zh-CN"/>
            </w:rPr>
            <w:fldChar w:fldCharType="end"/>
          </w:r>
          <w:r>
            <w:rPr>
              <w:rFonts w:hint="eastAsia" w:ascii="仿宋" w:hAnsi="仿宋" w:eastAsia="仿宋" w:cs="仿宋"/>
              <w:b w:val="0"/>
              <w:bCs w:val="0"/>
              <w:snapToGrid w:val="0"/>
              <w:color w:val="000000"/>
              <w:spacing w:val="6"/>
              <w:kern w:val="0"/>
              <w:position w:val="1"/>
              <w:sz w:val="28"/>
              <w:szCs w:val="28"/>
              <w:lang w:val="en-US" w:eastAsia="zh-CN" w:bidi="ar-SA"/>
            </w:rPr>
            <w:fldChar w:fldCharType="end"/>
          </w:r>
          <w:r>
            <w:rPr>
              <w:rFonts w:hint="eastAsia" w:cs="仿宋"/>
              <w:b w:val="0"/>
              <w:bCs w:val="0"/>
              <w:snapToGrid w:val="0"/>
              <w:color w:val="000000"/>
              <w:spacing w:val="6"/>
              <w:kern w:val="0"/>
              <w:position w:val="1"/>
              <w:sz w:val="28"/>
              <w:szCs w:val="28"/>
              <w:lang w:val="en-US" w:eastAsia="zh-CN" w:bidi="ar-SA"/>
            </w:rPr>
            <w:t>6</w:t>
          </w:r>
        </w:p>
        <w:p w14:paraId="03EF3D11">
          <w:pPr>
            <w:adjustRightInd/>
            <w:snapToGrid/>
            <w:spacing w:line="240" w:lineRule="auto"/>
            <w:ind w:firstLine="0" w:firstLineChars="0"/>
            <w:jc w:val="both"/>
            <w:rPr>
              <w:rFonts w:hint="eastAsia" w:ascii="黑体" w:hAnsi="黑体" w:eastAsia="黑体" w:cs="黑体"/>
              <w:b w:val="0"/>
              <w:bCs w:val="0"/>
              <w:snapToGrid w:val="0"/>
              <w:color w:val="000000"/>
              <w:spacing w:val="6"/>
              <w:kern w:val="0"/>
              <w:position w:val="1"/>
              <w:sz w:val="28"/>
              <w:szCs w:val="31"/>
              <w:lang w:val="en-US" w:eastAsia="zh-CN" w:bidi="ar-SA"/>
            </w:rPr>
          </w:pPr>
          <w:r>
            <w:rPr>
              <w:rFonts w:hint="eastAsia" w:ascii="黑体" w:hAnsi="黑体" w:eastAsia="黑体" w:cs="黑体"/>
              <w:b w:val="0"/>
              <w:bCs w:val="0"/>
              <w:snapToGrid w:val="0"/>
              <w:color w:val="000000"/>
              <w:spacing w:val="6"/>
              <w:kern w:val="0"/>
              <w:position w:val="1"/>
              <w:szCs w:val="31"/>
              <w:lang w:val="en-US" w:eastAsia="zh-CN" w:bidi="ar-SA"/>
            </w:rPr>
            <w:fldChar w:fldCharType="end"/>
          </w:r>
        </w:p>
      </w:sdtContent>
    </w:sdt>
    <w:p w14:paraId="6053EF47">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28"/>
          <w:szCs w:val="31"/>
          <w:lang w:val="en-US" w:eastAsia="zh-CN" w:bidi="ar-SA"/>
        </w:rPr>
      </w:pPr>
    </w:p>
    <w:p w14:paraId="7A4731E5">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31"/>
          <w:szCs w:val="31"/>
          <w:lang w:val="en-US" w:eastAsia="zh-CN" w:bidi="ar-SA"/>
        </w:rPr>
      </w:pPr>
    </w:p>
    <w:p w14:paraId="3AB7F64C">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31"/>
          <w:szCs w:val="31"/>
          <w:lang w:val="en-US" w:eastAsia="zh-CN" w:bidi="ar-SA"/>
        </w:rPr>
        <w:sectPr>
          <w:footerReference r:id="rId23" w:type="default"/>
          <w:pgSz w:w="11906" w:h="16838"/>
          <w:pgMar w:top="2098" w:right="1474" w:bottom="1984" w:left="1587" w:header="851" w:footer="992" w:gutter="0"/>
          <w:pgNumType w:fmt="decimal"/>
          <w:cols w:space="0" w:num="1"/>
          <w:rtlGutter w:val="0"/>
          <w:docGrid w:type="linesAndChars" w:linePitch="579" w:charSpace="-842"/>
        </w:sectPr>
      </w:pPr>
    </w:p>
    <w:p w14:paraId="0D287038">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31"/>
          <w:szCs w:val="31"/>
          <w:lang w:val="en-US" w:eastAsia="zh-CN" w:bidi="ar-SA"/>
        </w:rPr>
      </w:pPr>
    </w:p>
    <w:p w14:paraId="369BF9D8">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31"/>
          <w:szCs w:val="31"/>
          <w:lang w:val="en-US" w:eastAsia="zh-CN" w:bidi="ar-SA"/>
        </w:rPr>
      </w:pPr>
    </w:p>
    <w:p w14:paraId="5C3525D3">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31"/>
          <w:szCs w:val="31"/>
          <w:lang w:val="en-US" w:eastAsia="zh-CN" w:bidi="ar-SA"/>
        </w:rPr>
      </w:pPr>
    </w:p>
    <w:p w14:paraId="1F5F44D8">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31"/>
          <w:szCs w:val="31"/>
          <w:lang w:val="en-US" w:eastAsia="zh-CN" w:bidi="ar-SA"/>
        </w:rPr>
      </w:pPr>
    </w:p>
    <w:p w14:paraId="6263075B">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31"/>
          <w:szCs w:val="31"/>
          <w:lang w:val="en-US" w:eastAsia="zh-CN" w:bidi="ar-SA"/>
        </w:rPr>
      </w:pPr>
    </w:p>
    <w:p w14:paraId="7D96F225">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31"/>
          <w:szCs w:val="31"/>
          <w:lang w:val="en-US" w:eastAsia="zh-CN" w:bidi="ar-SA"/>
        </w:rPr>
      </w:pPr>
    </w:p>
    <w:p w14:paraId="4093D401">
      <w:pPr>
        <w:adjustRightInd/>
        <w:snapToGrid/>
        <w:spacing w:line="240" w:lineRule="auto"/>
        <w:ind w:firstLine="0" w:firstLineChars="0"/>
        <w:jc w:val="center"/>
        <w:rPr>
          <w:rFonts w:hint="eastAsia" w:ascii="黑体" w:hAnsi="黑体" w:eastAsia="黑体" w:cs="黑体"/>
          <w:b w:val="0"/>
          <w:bCs w:val="0"/>
          <w:snapToGrid w:val="0"/>
          <w:color w:val="000000"/>
          <w:spacing w:val="6"/>
          <w:kern w:val="0"/>
          <w:position w:val="1"/>
          <w:sz w:val="31"/>
          <w:szCs w:val="31"/>
          <w:lang w:val="en-US" w:eastAsia="zh-CN" w:bidi="ar-SA"/>
        </w:rPr>
      </w:pPr>
    </w:p>
    <w:p w14:paraId="54F0818E">
      <w:pPr>
        <w:spacing w:before="184" w:after="20" w:afterLines="20" w:line="240" w:lineRule="auto"/>
        <w:ind w:firstLine="1224" w:firstLineChars="300"/>
        <w:jc w:val="both"/>
        <w:rPr>
          <w:rFonts w:hint="eastAsia" w:ascii="微软雅黑" w:hAnsi="微软雅黑" w:eastAsia="微软雅黑" w:cs="微软雅黑"/>
          <w:b w:val="0"/>
          <w:bCs w:val="0"/>
          <w:spacing w:val="-9"/>
          <w:kern w:val="2"/>
          <w:sz w:val="43"/>
          <w:szCs w:val="43"/>
          <w:lang w:val="en-US" w:bidi="ar-SA"/>
        </w:rPr>
        <w:sectPr>
          <w:footerReference r:id="rId24" w:type="default"/>
          <w:pgSz w:w="11906" w:h="16838"/>
          <w:pgMar w:top="2098" w:right="1474" w:bottom="1984" w:left="1587" w:header="851" w:footer="992" w:gutter="0"/>
          <w:pgNumType w:fmt="decimal"/>
          <w:cols w:space="0" w:num="1"/>
          <w:rtlGutter w:val="0"/>
          <w:docGrid w:type="linesAndChars" w:linePitch="579" w:charSpace="-842"/>
        </w:sectPr>
      </w:pPr>
    </w:p>
    <w:p w14:paraId="243CBB8A">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outlineLvl w:val="9"/>
        <w:rPr>
          <w:rFonts w:hint="eastAsia" w:ascii="方正小标宋简体" w:hAnsi="方正小标宋简体" w:eastAsia="方正小标宋简体" w:cs="方正小标宋简体"/>
          <w:b w:val="0"/>
          <w:bCs w:val="0"/>
          <w:snapToGrid w:val="0"/>
          <w:color w:val="auto"/>
          <w:spacing w:val="0"/>
          <w:kern w:val="0"/>
          <w:sz w:val="44"/>
          <w:szCs w:val="44"/>
          <w:lang w:val="en-US" w:eastAsia="zh-CN"/>
        </w:rPr>
      </w:pPr>
      <w:r>
        <w:rPr>
          <w:rFonts w:hint="eastAsia" w:ascii="方正小标宋简体" w:hAnsi="方正小标宋简体" w:eastAsia="方正小标宋简体" w:cs="方正小标宋简体"/>
          <w:b w:val="0"/>
          <w:bCs w:val="0"/>
          <w:snapToGrid w:val="0"/>
          <w:color w:val="auto"/>
          <w:spacing w:val="0"/>
          <w:kern w:val="0"/>
          <w:sz w:val="44"/>
          <w:szCs w:val="44"/>
          <w:lang w:val="en-US" w:eastAsia="zh-CN"/>
        </w:rPr>
        <w:t>墨玉县应急管理科技与信息化</w:t>
      </w:r>
    </w:p>
    <w:p w14:paraId="41ED3F54">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outlineLvl w:val="9"/>
        <w:rPr>
          <w:rFonts w:hint="eastAsia" w:ascii="方正小标宋简体" w:hAnsi="方正小标宋简体" w:eastAsia="方正小标宋简体" w:cs="方正小标宋简体"/>
          <w:b w:val="0"/>
          <w:bCs w:val="0"/>
          <w:snapToGrid w:val="0"/>
          <w:color w:val="auto"/>
          <w:spacing w:val="0"/>
          <w:kern w:val="0"/>
          <w:sz w:val="44"/>
          <w:szCs w:val="44"/>
          <w:lang w:val="en-US" w:eastAsia="zh-CN"/>
        </w:rPr>
      </w:pPr>
      <w:r>
        <w:rPr>
          <w:rFonts w:hint="eastAsia" w:ascii="方正小标宋简体" w:hAnsi="方正小标宋简体" w:eastAsia="方正小标宋简体" w:cs="方正小标宋简体"/>
          <w:b w:val="0"/>
          <w:bCs w:val="0"/>
          <w:snapToGrid w:val="0"/>
          <w:color w:val="auto"/>
          <w:spacing w:val="0"/>
          <w:kern w:val="0"/>
          <w:sz w:val="44"/>
          <w:szCs w:val="44"/>
          <w:lang w:val="en-US" w:eastAsia="zh-CN"/>
        </w:rPr>
        <w:t>“十五五”实施方案（2026—2030年）</w:t>
      </w:r>
    </w:p>
    <w:p w14:paraId="77EF1E8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outlineLvl w:val="9"/>
        <w:rPr>
          <w:rFonts w:hint="default" w:ascii="方正小标宋简体" w:hAnsi="方正小标宋简体" w:eastAsia="方正小标宋简体" w:cs="方正小标宋简体"/>
          <w:b w:val="0"/>
          <w:bCs w:val="0"/>
          <w:snapToGrid w:val="0"/>
          <w:color w:val="auto"/>
          <w:spacing w:val="0"/>
          <w:kern w:val="0"/>
          <w:sz w:val="44"/>
          <w:szCs w:val="44"/>
          <w:lang w:val="en-US" w:eastAsia="zh-CN"/>
        </w:rPr>
      </w:pPr>
    </w:p>
    <w:p w14:paraId="79304948">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451" w:firstLineChars="100"/>
        <w:jc w:val="left"/>
        <w:textAlignment w:val="baseline"/>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十五五”时期是我国推进应急管理体系和能力现代化的关键阶段，聚焦新质生产力赋能安全治理，推动应急管理实现从被动应对向事前预防、精准管控转型，为我县明确应急管理信息化建设宏观方向，提供了重要战略机遇和政策支撑。习近平总书记关于应急管理的重要指示精神，以总体国家安全观为统领，明确要求统筹发展和安全，运用科技手段提升风险防控、应急处置效能，为我县应急管理信息化建设提供了根本遵循。</w:t>
      </w:r>
    </w:p>
    <w:p w14:paraId="58BEE47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墨玉县地处新疆，自然灾害易发多发，且属多民族聚居地区，基层应急工作存在监测力量薄弱、资源调度不畅、信息传递不及时等问题，亟须通过科技化手段实现风险精准预警、救援高效指挥，切实保障各族群众生命财产安全。根据《新疆维吾尔自治区科技与信息化“十五五”发展规划》《和田地区应急管理科技和信息化“十五五”发展规划》《墨玉县国民经济和社会发展第十五个五年规划纲要》等有关法律法规要求，制定本方案。</w:t>
      </w:r>
    </w:p>
    <w:p w14:paraId="4EE966E9">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902" w:firstLineChars="200"/>
        <w:jc w:val="left"/>
        <w:textAlignment w:val="baseline"/>
        <w:rPr>
          <w:rFonts w:hint="eastAsia" w:ascii="方正仿宋_GB2312" w:hAnsi="方正仿宋_GB2312" w:eastAsia="方正仿宋_GB2312" w:cs="方正仿宋_GB2312"/>
          <w:b w:val="0"/>
          <w:bCs w:val="0"/>
          <w:snapToGrid w:val="0"/>
          <w:color w:val="000000"/>
          <w:spacing w:val="13"/>
          <w:kern w:val="0"/>
          <w:sz w:val="32"/>
          <w:szCs w:val="32"/>
          <w:lang w:val="en-US" w:eastAsia="zh-CN" w:bidi="ar-SA"/>
        </w:rPr>
      </w:pPr>
    </w:p>
    <w:p w14:paraId="0468A73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right="0" w:firstLine="0" w:firstLineChars="0"/>
        <w:jc w:val="left"/>
        <w:textAlignment w:val="baseline"/>
        <w:rPr>
          <w:rFonts w:hint="eastAsia" w:ascii="方正仿宋_GB2312" w:hAnsi="方正仿宋_GB2312" w:eastAsia="方正仿宋_GB2312" w:cs="方正仿宋_GB2312"/>
          <w:b w:val="0"/>
          <w:bCs w:val="0"/>
          <w:snapToGrid w:val="0"/>
          <w:color w:val="000000"/>
          <w:spacing w:val="13"/>
          <w:kern w:val="0"/>
          <w:sz w:val="32"/>
          <w:szCs w:val="32"/>
          <w:lang w:val="en-US" w:eastAsia="zh-CN" w:bidi="ar-SA"/>
        </w:rPr>
      </w:pPr>
    </w:p>
    <w:p w14:paraId="04AA257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方正仿宋_GB2312" w:hAnsi="方正仿宋_GB2312" w:eastAsia="方正仿宋_GB2312" w:cs="方正仿宋_GB2312"/>
          <w:b w:val="0"/>
          <w:bCs w:val="0"/>
          <w:snapToGrid w:val="0"/>
          <w:color w:val="000000"/>
          <w:spacing w:val="13"/>
          <w:kern w:val="0"/>
          <w:sz w:val="32"/>
          <w:szCs w:val="32"/>
          <w:lang w:val="en-US" w:eastAsia="zh-CN" w:bidi="ar-SA"/>
        </w:rPr>
      </w:pPr>
    </w:p>
    <w:p w14:paraId="30263F5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62" w:firstLineChars="200"/>
        <w:jc w:val="center"/>
        <w:textAlignment w:val="baseline"/>
        <w:outlineLvl w:val="0"/>
        <w:rPr>
          <w:rFonts w:hint="eastAsia" w:ascii="黑体" w:hAnsi="黑体" w:eastAsia="黑体" w:cs="黑体"/>
          <w:b w:val="0"/>
          <w:bCs w:val="0"/>
          <w:snapToGrid w:val="0"/>
          <w:color w:val="000000"/>
          <w:spacing w:val="13"/>
          <w:kern w:val="0"/>
          <w:sz w:val="32"/>
          <w:szCs w:val="32"/>
          <w:lang w:val="en-US" w:eastAsia="zh-CN" w:bidi="ar-SA"/>
        </w:rPr>
      </w:pPr>
      <w:bookmarkStart w:id="145" w:name="_Toc9600"/>
      <w:r>
        <w:rPr>
          <w:rFonts w:hint="eastAsia" w:ascii="黑体" w:hAnsi="黑体" w:eastAsia="黑体" w:cs="黑体"/>
          <w:b w:val="0"/>
          <w:bCs w:val="0"/>
          <w:snapToGrid w:val="0"/>
          <w:color w:val="000000"/>
          <w:spacing w:val="3"/>
          <w:kern w:val="0"/>
          <w:sz w:val="32"/>
          <w:szCs w:val="32"/>
          <w:lang w:val="en-US" w:eastAsia="zh-CN" w:bidi="ar-SA"/>
        </w:rPr>
        <w:t>第一章  现状与形势</w:t>
      </w:r>
      <w:bookmarkEnd w:id="145"/>
    </w:p>
    <w:p w14:paraId="2558548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86" w:firstLineChars="200"/>
        <w:jc w:val="center"/>
        <w:textAlignment w:val="baseline"/>
        <w:outlineLvl w:val="1"/>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46" w:name="_Toc13382"/>
      <w:r>
        <w:rPr>
          <w:rFonts w:hint="eastAsia" w:ascii="方正楷体简体" w:hAnsi="方正楷体简体" w:eastAsia="方正楷体简体" w:cs="方正楷体简体"/>
          <w:b/>
          <w:bCs/>
          <w:snapToGrid w:val="0"/>
          <w:color w:val="000000"/>
          <w:spacing w:val="9"/>
          <w:kern w:val="0"/>
          <w:sz w:val="32"/>
          <w:szCs w:val="32"/>
          <w:lang w:val="en-US" w:eastAsia="zh-CN" w:bidi="ar-SA"/>
        </w:rPr>
        <w:t>第一节  工作成效</w:t>
      </w:r>
      <w:bookmarkEnd w:id="146"/>
    </w:p>
    <w:p w14:paraId="4B027302">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十四五”期间，在县委、县政府的高度重视和正确领导下，县应急管理局深入贯彻落实习近平总书记关于应急管理、安全生产、防灾减灾救灾等重要论述和指示批示精神，应急管理科技与信息化建设取得初步成效。现已初步建成基础信息平台，打通部分部门数据壁垒，配置简易监测技术设备，灾害风险初步感知能力得到提升。优化应急信息传递流程，基层应急响应效率有所提高，为保障群众生命财产安全筑牢了基础，也为“十五五”时期深化信息化建设奠定了坚实根基。</w:t>
      </w:r>
    </w:p>
    <w:p w14:paraId="034821A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仿宋_GB2312" w:hAnsi="仿宋_GB2312" w:eastAsia="仿宋_GB2312" w:cs="仿宋_GB2312"/>
          <w:b/>
          <w:bCs/>
          <w:snapToGrid w:val="0"/>
          <w:color w:val="000000"/>
          <w:spacing w:val="9"/>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一、构建现代化的应急指挥平台</w:t>
      </w:r>
    </w:p>
    <w:p w14:paraId="2FAEF85A">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根据《应急管理部关于印发自然灾害应急能力提升工程基层防灾、预警指挥、航空应急等</w:t>
      </w:r>
      <w:r>
        <w:rPr>
          <w:rFonts w:hint="default" w:ascii="Times New Roman" w:hAnsi="Times New Roman" w:eastAsia="仿宋_GB2312" w:cs="Times New Roman"/>
          <w:b w:val="0"/>
          <w:bCs w:val="0"/>
          <w:snapToGrid w:val="0"/>
          <w:color w:val="000000"/>
          <w:spacing w:val="13"/>
          <w:kern w:val="0"/>
          <w:sz w:val="32"/>
          <w:szCs w:val="32"/>
          <w:lang w:val="en-US" w:eastAsia="zh-CN" w:bidi="ar-SA"/>
        </w:rPr>
        <w:t>3</w:t>
      </w:r>
      <w:r>
        <w:rPr>
          <w:rFonts w:hint="eastAsia" w:ascii="仿宋_GB2312" w:hAnsi="仿宋_GB2312" w:eastAsia="仿宋_GB2312" w:cs="仿宋_GB2312"/>
          <w:b w:val="0"/>
          <w:bCs w:val="0"/>
          <w:snapToGrid w:val="0"/>
          <w:color w:val="000000"/>
          <w:spacing w:val="13"/>
          <w:kern w:val="0"/>
          <w:sz w:val="32"/>
          <w:szCs w:val="32"/>
          <w:lang w:val="en-US" w:eastAsia="zh-CN" w:bidi="ar-SA"/>
        </w:rPr>
        <w:t>个项目实施方案的通知》（应急函</w:t>
      </w:r>
      <w:r>
        <w:rPr>
          <w:rFonts w:hint="eastAsia" w:ascii="Times New Roman" w:hAnsi="Times New Roman" w:eastAsia="仿宋_GB2312" w:cs="Times New Roman"/>
          <w:b w:val="0"/>
          <w:bCs w:val="0"/>
          <w:snapToGrid w:val="0"/>
          <w:color w:val="000000"/>
          <w:spacing w:val="13"/>
          <w:kern w:val="0"/>
          <w:sz w:val="32"/>
          <w:szCs w:val="32"/>
          <w:lang w:val="en-US" w:eastAsia="zh-CN" w:bidi="ar-SA"/>
        </w:rPr>
        <w:t>〔2023〕140</w:t>
      </w:r>
      <w:r>
        <w:rPr>
          <w:rFonts w:hint="eastAsia" w:ascii="仿宋_GB2312" w:hAnsi="仿宋_GB2312" w:eastAsia="仿宋_GB2312" w:cs="仿宋_GB2312"/>
          <w:b w:val="0"/>
          <w:bCs w:val="0"/>
          <w:snapToGrid w:val="0"/>
          <w:color w:val="000000"/>
          <w:spacing w:val="13"/>
          <w:kern w:val="0"/>
          <w:sz w:val="32"/>
          <w:szCs w:val="32"/>
          <w:lang w:val="en-US" w:eastAsia="zh-CN" w:bidi="ar-SA"/>
        </w:rPr>
        <w:t>号）、《应急管理部科技和信息化领导小组办公室关于印发</w:t>
      </w:r>
      <w:r>
        <w:rPr>
          <w:rFonts w:hint="eastAsia" w:ascii="Times New Roman" w:hAnsi="Times New Roman" w:eastAsia="仿宋_GB2312" w:cs="Times New Roman"/>
          <w:b w:val="0"/>
          <w:bCs w:val="0"/>
          <w:snapToGrid w:val="0"/>
          <w:color w:val="000000"/>
          <w:spacing w:val="13"/>
          <w:kern w:val="0"/>
          <w:sz w:val="32"/>
          <w:szCs w:val="32"/>
          <w:lang w:val="en-US" w:eastAsia="zh-CN" w:bidi="ar-SA"/>
        </w:rPr>
        <w:t>2024</w:t>
      </w:r>
      <w:r>
        <w:rPr>
          <w:rFonts w:hint="eastAsia" w:ascii="仿宋_GB2312" w:hAnsi="仿宋_GB2312" w:eastAsia="仿宋_GB2312" w:cs="仿宋_GB2312"/>
          <w:b w:val="0"/>
          <w:bCs w:val="0"/>
          <w:snapToGrid w:val="0"/>
          <w:color w:val="000000"/>
          <w:spacing w:val="13"/>
          <w:kern w:val="0"/>
          <w:sz w:val="32"/>
          <w:szCs w:val="32"/>
          <w:lang w:val="en-US" w:eastAsia="zh-CN" w:bidi="ar-SA"/>
        </w:rPr>
        <w:t>年地方应急科技信息化任务书的通知》（应急科信办</w:t>
      </w:r>
      <w:r>
        <w:rPr>
          <w:rFonts w:hint="eastAsia" w:ascii="Times New Roman" w:hAnsi="Times New Roman" w:eastAsia="仿宋_GB2312" w:cs="Times New Roman"/>
          <w:b w:val="0"/>
          <w:bCs w:val="0"/>
          <w:snapToGrid w:val="0"/>
          <w:color w:val="000000"/>
          <w:spacing w:val="13"/>
          <w:kern w:val="0"/>
          <w:sz w:val="32"/>
          <w:szCs w:val="32"/>
          <w:lang w:val="en-US" w:eastAsia="zh-CN" w:bidi="ar-SA"/>
        </w:rPr>
        <w:t>〔2024〕2</w:t>
      </w:r>
      <w:r>
        <w:rPr>
          <w:rFonts w:hint="eastAsia" w:ascii="仿宋_GB2312" w:hAnsi="仿宋_GB2312" w:eastAsia="仿宋_GB2312" w:cs="仿宋_GB2312"/>
          <w:b w:val="0"/>
          <w:bCs w:val="0"/>
          <w:snapToGrid w:val="0"/>
          <w:color w:val="000000"/>
          <w:spacing w:val="13"/>
          <w:kern w:val="0"/>
          <w:sz w:val="32"/>
          <w:szCs w:val="32"/>
          <w:lang w:val="en-US" w:eastAsia="zh-CN" w:bidi="ar-SA"/>
        </w:rPr>
        <w:t>号）、《工业和信息化部等八部门办公厅（室）关于提升基层应急通信保障能力的通知》（工信厅联信管</w:t>
      </w:r>
      <w:r>
        <w:rPr>
          <w:rFonts w:hint="eastAsia" w:ascii="Times New Roman" w:hAnsi="Times New Roman" w:eastAsia="仿宋_GB2312" w:cs="Times New Roman"/>
          <w:b w:val="0"/>
          <w:bCs w:val="0"/>
          <w:snapToGrid w:val="0"/>
          <w:color w:val="000000"/>
          <w:spacing w:val="13"/>
          <w:kern w:val="0"/>
          <w:sz w:val="32"/>
          <w:szCs w:val="32"/>
          <w:lang w:val="en-US" w:eastAsia="zh-CN" w:bidi="ar-SA"/>
        </w:rPr>
        <w:t>〔2025〕64</w:t>
      </w:r>
      <w:r>
        <w:rPr>
          <w:rFonts w:hint="eastAsia" w:ascii="仿宋_GB2312" w:hAnsi="仿宋_GB2312" w:eastAsia="仿宋_GB2312" w:cs="仿宋_GB2312"/>
          <w:b w:val="0"/>
          <w:bCs w:val="0"/>
          <w:snapToGrid w:val="0"/>
          <w:color w:val="000000"/>
          <w:spacing w:val="13"/>
          <w:kern w:val="0"/>
          <w:sz w:val="32"/>
          <w:szCs w:val="32"/>
          <w:lang w:val="en-US" w:eastAsia="zh-CN" w:bidi="ar-SA"/>
        </w:rPr>
        <w:t>号）文件精神，我县搭建现代化应急指挥平台，接入乡镇</w:t>
      </w:r>
      <w:r>
        <w:rPr>
          <w:rFonts w:hint="eastAsia" w:ascii="仿宋_GB2312" w:hAnsi="仿宋_GB2312" w:eastAsia="仿宋_GB2312" w:cs="仿宋_GB2312"/>
          <w:b w:val="0"/>
          <w:bCs w:val="0"/>
          <w:snapToGrid w:val="0"/>
          <w:color w:val="auto"/>
          <w:spacing w:val="13"/>
          <w:kern w:val="0"/>
          <w:sz w:val="32"/>
          <w:szCs w:val="32"/>
          <w:lang w:val="en-US" w:eastAsia="zh-CN"/>
        </w:rPr>
        <w:t>（街办、园区）</w:t>
      </w:r>
      <w:r>
        <w:rPr>
          <w:rFonts w:hint="eastAsia" w:ascii="仿宋_GB2312" w:hAnsi="仿宋_GB2312" w:eastAsia="仿宋_GB2312" w:cs="仿宋_GB2312"/>
          <w:b w:val="0"/>
          <w:bCs w:val="0"/>
          <w:snapToGrid w:val="0"/>
          <w:color w:val="000000"/>
          <w:spacing w:val="13"/>
          <w:kern w:val="0"/>
          <w:sz w:val="32"/>
          <w:szCs w:val="32"/>
          <w:lang w:val="en-US" w:eastAsia="zh-CN" w:bidi="ar-SA"/>
        </w:rPr>
        <w:t>终端，整合视频会商调度、</w:t>
      </w:r>
      <w:r>
        <w:rPr>
          <w:rFonts w:hint="eastAsia" w:ascii="Times New Roman" w:hAnsi="Times New Roman" w:eastAsia="仿宋_GB2312" w:cs="Times New Roman"/>
          <w:b w:val="0"/>
          <w:bCs w:val="0"/>
          <w:snapToGrid w:val="0"/>
          <w:color w:val="000000"/>
          <w:spacing w:val="13"/>
          <w:kern w:val="0"/>
          <w:sz w:val="32"/>
          <w:szCs w:val="32"/>
          <w:lang w:val="en-US" w:eastAsia="zh-CN" w:bidi="ar-SA"/>
        </w:rPr>
        <w:t>GIS</w:t>
      </w:r>
      <w:r>
        <w:rPr>
          <w:rFonts w:hint="eastAsia" w:ascii="仿宋_GB2312" w:hAnsi="仿宋_GB2312" w:eastAsia="仿宋_GB2312" w:cs="仿宋_GB2312"/>
          <w:b w:val="0"/>
          <w:bCs w:val="0"/>
          <w:snapToGrid w:val="0"/>
          <w:color w:val="000000"/>
          <w:spacing w:val="13"/>
          <w:kern w:val="0"/>
          <w:sz w:val="32"/>
          <w:szCs w:val="32"/>
          <w:lang w:val="en-US" w:eastAsia="zh-CN" w:bidi="ar-SA"/>
        </w:rPr>
        <w:t>地图、数据上报、双重防控、企业信息、知识库、资产管理等功能，实现实时视频连线、数据共享与远程调度，构建形成“线上+线下”双通信链路。</w:t>
      </w:r>
    </w:p>
    <w:p w14:paraId="2C5E0FB4">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平台依托电子政务外网搭建会议调度系统，严格守住网络安全底线，实现乡镇、村、企业全覆盖，相关主体通过扫码即可接入视频会议，有效提升工作部署效率。推行双重防控机制，通过风险分级管控与隐患排查治理体系，引导企业自主开展安全检查。搭建动态企业信息管理模块，实现监管底数实时可查，企业负责人、联系方式等信息变更时，可通过手机端完成修改，县级同步更新信息，确保企业信息台账始终精准准确。内置知识库系统，整合法律法规、应急知识、教学视频等各类资源，提供在线查询与知识图谱服务，串联关联知识，助力工作人员快速检索掌握相关内容。此外，平台支持全县应急物资出入库管理及固定资产全生命周期管理，帐篷、发电机等物资通过扫码即可完成出入库登记。</w:t>
      </w:r>
    </w:p>
    <w:p w14:paraId="13EBAC52">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平台聚焦“安全生产”“防灾减灾”“消防安全”和“一氧化碳安全”四个方向，为县域安全治理赋能。安全生产板块接入企业风险点位数据，通过智能监测设备对非煤矿山、工贸企业、危化企业、烟花爆竹等四大行业重点场景实施实时管控，实现隐患自动预警与闭环整改。防灾减灾板块涵盖森林防火、防汛抗旱、抗震救灾三大业务，其中森林防火、防汛抗旱相关系统和数据正在与自治区对接；抗震救灾模块依托应急管理地理信息系统</w:t>
      </w:r>
      <w:r>
        <w:rPr>
          <w:rFonts w:hint="eastAsia" w:ascii="Times New Roman" w:hAnsi="Times New Roman" w:eastAsia="仿宋_GB2312" w:cs="Times New Roman"/>
          <w:b w:val="0"/>
          <w:bCs w:val="0"/>
          <w:snapToGrid w:val="0"/>
          <w:color w:val="000000"/>
          <w:spacing w:val="13"/>
          <w:kern w:val="0"/>
          <w:sz w:val="32"/>
          <w:szCs w:val="32"/>
          <w:lang w:val="en-US" w:eastAsia="zh-CN" w:bidi="ar-SA"/>
        </w:rPr>
        <w:t>（EGIS）</w:t>
      </w:r>
      <w:r>
        <w:rPr>
          <w:rFonts w:hint="eastAsia" w:ascii="仿宋_GB2312" w:hAnsi="仿宋_GB2312" w:eastAsia="仿宋_GB2312" w:cs="仿宋_GB2312"/>
          <w:b w:val="0"/>
          <w:bCs w:val="0"/>
          <w:snapToGrid w:val="0"/>
          <w:color w:val="000000"/>
          <w:spacing w:val="13"/>
          <w:kern w:val="0"/>
          <w:sz w:val="32"/>
          <w:szCs w:val="32"/>
          <w:lang w:val="en-US" w:eastAsia="zh-CN" w:bidi="ar-SA"/>
        </w:rPr>
        <w:t>，结合风险普查数据，将各类防护目标和风险源通过“一张图”集中展示，精准推送预警信息至基层和群众。消防板块通过已安装的组合式电气火灾探测器、消防水压监测仪、室外消防水压监测仪四类物联网设备与消防平台联网，</w:t>
      </w:r>
      <w:r>
        <w:rPr>
          <w:rFonts w:hint="eastAsia" w:ascii="Times New Roman" w:hAnsi="Times New Roman" w:eastAsia="仿宋_GB2312" w:cs="Times New Roman"/>
          <w:b w:val="0"/>
          <w:bCs w:val="0"/>
          <w:snapToGrid w:val="0"/>
          <w:color w:val="000000"/>
          <w:spacing w:val="13"/>
          <w:kern w:val="0"/>
          <w:sz w:val="32"/>
          <w:szCs w:val="32"/>
          <w:lang w:val="en-US" w:eastAsia="zh-CN" w:bidi="ar-SA"/>
        </w:rPr>
        <w:t>5</w:t>
      </w:r>
      <w:r>
        <w:rPr>
          <w:rFonts w:hint="eastAsia" w:ascii="仿宋_GB2312" w:hAnsi="仿宋_GB2312" w:eastAsia="仿宋_GB2312" w:cs="仿宋_GB2312"/>
          <w:b w:val="0"/>
          <w:bCs w:val="0"/>
          <w:snapToGrid w:val="0"/>
          <w:color w:val="000000"/>
          <w:spacing w:val="13"/>
          <w:kern w:val="0"/>
          <w:sz w:val="32"/>
          <w:szCs w:val="32"/>
          <w:lang w:val="en-US" w:eastAsia="zh-CN" w:bidi="ar-SA"/>
        </w:rPr>
        <w:t>家重点消防试点单位已完成平台接入，实现消防设施状态实时监控、火灾隐患智能预警，有效提升火灾防控能力。消防安全领域整合重点场所监控与消防设施数据，支持火情快速定位、救援力量一键调度，联动视频会商系统实现远程指挥协同作战。针对县域民生需求，平台强化一氧化碳安全管控，接入入户监测设备，实现泄漏实时报警、隐患上门排查，同步开展安全知识线上推送，筑牢各族群众居家安全防线。强化实时监控能力，指挥中心已接入全县</w:t>
      </w:r>
      <w:r>
        <w:rPr>
          <w:rFonts w:hint="eastAsia" w:ascii="Times New Roman" w:hAnsi="Times New Roman" w:eastAsia="仿宋_GB2312" w:cs="Times New Roman"/>
          <w:b w:val="0"/>
          <w:bCs w:val="0"/>
          <w:snapToGrid w:val="0"/>
          <w:color w:val="000000"/>
          <w:spacing w:val="13"/>
          <w:kern w:val="0"/>
          <w:sz w:val="32"/>
          <w:szCs w:val="32"/>
          <w:lang w:val="en-US" w:eastAsia="zh-CN" w:bidi="ar-SA"/>
        </w:rPr>
        <w:t>29205</w:t>
      </w:r>
      <w:r>
        <w:rPr>
          <w:rFonts w:hint="eastAsia" w:ascii="仿宋_GB2312" w:hAnsi="仿宋_GB2312" w:eastAsia="仿宋_GB2312" w:cs="仿宋_GB2312"/>
          <w:b w:val="0"/>
          <w:bCs w:val="0"/>
          <w:snapToGrid w:val="0"/>
          <w:color w:val="000000"/>
          <w:spacing w:val="13"/>
          <w:kern w:val="0"/>
          <w:sz w:val="32"/>
          <w:szCs w:val="32"/>
          <w:lang w:val="en-US" w:eastAsia="zh-CN" w:bidi="ar-SA"/>
        </w:rPr>
        <w:t>路监控画面，实现重点领域全覆盖，可实时上传并调看各类场景画面：非煤矿山领域可精准锁定人员、车辆画面，开展跟踪研判、放大分析；同步上传消防控制室、工贸企业、危化企业及人员密集场所画面，实现动态管控。</w:t>
      </w:r>
    </w:p>
    <w:p w14:paraId="19920D2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方正仿宋_GB2312" w:hAnsi="方正仿宋_GB2312" w:eastAsia="方正仿宋_GB2312" w:cs="方正仿宋_GB2312"/>
          <w:b/>
          <w:bCs/>
          <w:snapToGrid w:val="0"/>
          <w:color w:val="000000"/>
          <w:spacing w:val="9"/>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二、聚焦全域应用，深化应急管理信息化数字化建设</w:t>
      </w:r>
    </w:p>
    <w:p w14:paraId="52BE4955">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我县严格参照《应急管理数据资源目录编制规范》《安全生产信息化标准体系》等国家及行业标准，结合本地实际，推动核心普查数据的采集与使用规范。一是规范灾害信息管理，明确致灾因子（气象、水文、地震、地质等）、承灾体（人口、建筑、基础设施、重点企业）、灾情数据（人员伤亡、财产损失、救援进展）的采集字段、格式、计量单位，统一灾害分类编码与风险等级划分标准。二是规范安全工作人员信息管理，明确企业安全负责人、安全管理员、特种作业人员的身份信息、资质证书编号、培训记录、履职考核结果等数据项标准。三是规范应急救援队伍台账管理，统一队伍类型、人员构成、装备配置、技能特长、应急演练记录等数据标准，建立队伍能力分级分类指标体系。四是规范应急救援物资统计管理，制定物资分类编码，明确物资名称、型号规格、存储位置、库存数量、保质期、维护记录等核心字段，实现与物资仓储管理系统的数据互通。</w:t>
      </w:r>
    </w:p>
    <w:p w14:paraId="7C3279E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仿宋_GB2312" w:hAnsi="仿宋_GB2312" w:eastAsia="仿宋_GB2312" w:cs="仿宋_GB2312"/>
          <w:b/>
          <w:bCs/>
          <w:snapToGrid w:val="0"/>
          <w:color w:val="000000"/>
          <w:spacing w:val="9"/>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三、视频巡查机制高效运行</w:t>
      </w:r>
    </w:p>
    <w:p w14:paraId="1616BFE0">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我县聚焦安全生产监管核心领域，建立常态化视频巡查机制，依托信息化监控平台对重点区域、关键环节实施实时动态监管。通过远程视频监控巡查累计排查发现安全生产隐患</w:t>
      </w:r>
      <w:r>
        <w:rPr>
          <w:rFonts w:hint="eastAsia" w:ascii="Times New Roman" w:hAnsi="Times New Roman" w:eastAsia="仿宋_GB2312" w:cs="Times New Roman"/>
          <w:b w:val="0"/>
          <w:bCs w:val="0"/>
          <w:snapToGrid w:val="0"/>
          <w:color w:val="000000"/>
          <w:spacing w:val="13"/>
          <w:kern w:val="0"/>
          <w:sz w:val="32"/>
          <w:szCs w:val="32"/>
          <w:lang w:val="en-US" w:eastAsia="zh-CN" w:bidi="ar-SA"/>
        </w:rPr>
        <w:t>240</w:t>
      </w:r>
      <w:r>
        <w:rPr>
          <w:rFonts w:hint="eastAsia" w:ascii="仿宋_GB2312" w:hAnsi="仿宋_GB2312" w:eastAsia="仿宋_GB2312" w:cs="仿宋_GB2312"/>
          <w:b w:val="0"/>
          <w:bCs w:val="0"/>
          <w:snapToGrid w:val="0"/>
          <w:color w:val="000000"/>
          <w:spacing w:val="13"/>
          <w:kern w:val="0"/>
          <w:sz w:val="32"/>
          <w:szCs w:val="32"/>
          <w:lang w:val="en-US" w:eastAsia="zh-CN" w:bidi="ar-SA"/>
        </w:rPr>
        <w:t>余条，涉及设施设置不规范、作业操作不合规、安全防护不到位等各类问题，显著提升了安全生产监管的精准性与时效性。</w:t>
      </w:r>
    </w:p>
    <w:p w14:paraId="67230D9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仿宋_GB2312" w:hAnsi="仿宋_GB2312" w:eastAsia="仿宋_GB2312" w:cs="仿宋_GB2312"/>
          <w:b/>
          <w:bCs/>
          <w:snapToGrid w:val="0"/>
          <w:color w:val="000000"/>
          <w:spacing w:val="9"/>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四、应急指挥体系贯通基层</w:t>
      </w:r>
    </w:p>
    <w:p w14:paraId="4F1FA910">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以县级应急指挥中心为总调度枢纽，统筹全县应急资源与决策指令，基本建成“县—乡—村”三级垂直指挥体系，明确各级“谁来指挥、指挥谁、怎么联动”的职责边界。依托多元通信手段，保障指令高效传递。为三级应急工作人员配备对讲机，划分专用频道并制定统一呼叫应答规范，解决部分偏远区域网络不稳定问题，实现县级与基层“一键呼叫、即时回应”，保障紧急状态下应急信息传递不中断。</w:t>
      </w:r>
    </w:p>
    <w:p w14:paraId="1B94714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仿宋_GB2312" w:hAnsi="仿宋_GB2312" w:eastAsia="仿宋_GB2312" w:cs="仿宋_GB2312"/>
          <w:b/>
          <w:bCs/>
          <w:snapToGrid w:val="0"/>
          <w:color w:val="000000"/>
          <w:spacing w:val="9"/>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五、健全联动运行机制，强化协同处置能力</w:t>
      </w:r>
    </w:p>
    <w:p w14:paraId="31C9660B">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692"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立足我县应急管理实际需求，主动对接电力、燃气、消防、住建、气象等重点行业部门，建立制度化、常态化应急联动工作机制。气象部门第一时间推送灾害预警信息，为应急决策提供科学依据；电力、燃气、住建部门针对基础设施险情快速开展专业处置；消防部门牵头组织实施抢险救援，构建形成覆盖“预警－研判－处置－善后”全链条部门协作体系。县应急指挥中心依托信息化平台统筹调度各联动部门，累计成功联动处置安全生产、灾害险情等各类应急突发事件</w:t>
      </w:r>
      <w:r>
        <w:rPr>
          <w:rFonts w:hint="eastAsia" w:ascii="Times New Roman" w:hAnsi="Times New Roman" w:eastAsia="仿宋_GB2312" w:cs="Times New Roman"/>
          <w:b w:val="0"/>
          <w:bCs w:val="0"/>
          <w:snapToGrid w:val="0"/>
          <w:color w:val="000000"/>
          <w:spacing w:val="13"/>
          <w:kern w:val="0"/>
          <w:sz w:val="32"/>
          <w:szCs w:val="32"/>
          <w:lang w:val="en-US" w:eastAsia="zh-CN" w:bidi="ar-SA"/>
        </w:rPr>
        <w:t>20</w:t>
      </w:r>
      <w:r>
        <w:rPr>
          <w:rFonts w:hint="eastAsia" w:ascii="仿宋_GB2312" w:hAnsi="仿宋_GB2312" w:eastAsia="仿宋_GB2312" w:cs="仿宋_GB2312"/>
          <w:b w:val="0"/>
          <w:bCs w:val="0"/>
          <w:snapToGrid w:val="0"/>
          <w:color w:val="000000"/>
          <w:spacing w:val="13"/>
          <w:kern w:val="0"/>
          <w:sz w:val="32"/>
          <w:szCs w:val="32"/>
          <w:lang w:val="en-US" w:eastAsia="zh-CN" w:bidi="ar-SA"/>
        </w:rPr>
        <w:t>余次，各部门快速响应、协同行动，实现指令传达零延迟、力量调配零障碍、处置环节零脱节，最大限度地降低了突发事件造成的人员伤亡和财产损失。定期召开县、乡（街办、园区）应急会商会议，通报风险隐患、研判安全形势，提前部署防范应对措施，实现风险信息上下贯通互通。持续强化协调联动能力，平台已预留教育、交通、住建领域安全相关业务应用端口，端口联通后可打破部门信息壁垒，实现跨部门安全信息快速共享、业务高效协同，为综合研判、联合处置提供支撑。</w:t>
      </w:r>
    </w:p>
    <w:p w14:paraId="3450CF5D">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692"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p>
    <w:p w14:paraId="3726A442">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692"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p>
    <w:p w14:paraId="5FDDC422">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仿宋_GB2312" w:hAnsi="仿宋_GB2312" w:eastAsia="仿宋_GB2312" w:cs="仿宋_GB2312"/>
          <w:b/>
          <w:bCs/>
          <w:snapToGrid w:val="0"/>
          <w:color w:val="000000"/>
          <w:spacing w:val="9"/>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六、智慧消防平台应用深化</w:t>
      </w:r>
    </w:p>
    <w:p w14:paraId="3E95BA9C">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深化智慧消防平台应用，聚焦高层住宅小区、重点商业综合体等消防安全关键场景，以消防水系统智能监测为核心突破口，大幅提升消防安全防控智能化、精准化水平，筑牢重点区域消防安全防线。针对关键场景部署智能监测设施，实现消防水系统全域智能监测。通过在消防水系统关键部位布设无线压力变送器、无线液位变送器等物联网传感器，对高位水箱水位、室内外消火栓水压等核心指标开展</w:t>
      </w:r>
      <w:r>
        <w:rPr>
          <w:rFonts w:hint="eastAsia" w:ascii="Times New Roman" w:hAnsi="Times New Roman" w:eastAsia="仿宋_GB2312" w:cs="Times New Roman"/>
          <w:b w:val="0"/>
          <w:bCs w:val="0"/>
          <w:snapToGrid w:val="0"/>
          <w:color w:val="000000"/>
          <w:spacing w:val="13"/>
          <w:kern w:val="0"/>
          <w:sz w:val="32"/>
          <w:szCs w:val="32"/>
          <w:lang w:val="en-US" w:eastAsia="zh-CN" w:bidi="ar-SA"/>
        </w:rPr>
        <w:t>24</w:t>
      </w:r>
      <w:r>
        <w:rPr>
          <w:rFonts w:hint="eastAsia" w:ascii="仿宋_GB2312" w:hAnsi="仿宋_GB2312" w:eastAsia="仿宋_GB2312" w:cs="仿宋_GB2312"/>
          <w:b w:val="0"/>
          <w:bCs w:val="0"/>
          <w:snapToGrid w:val="0"/>
          <w:color w:val="000000"/>
          <w:spacing w:val="13"/>
          <w:kern w:val="0"/>
          <w:sz w:val="32"/>
          <w:szCs w:val="32"/>
          <w:lang w:val="en-US" w:eastAsia="zh-CN" w:bidi="ar-SA"/>
        </w:rPr>
        <w:t>小时不间断监测，平台通过短信</w:t>
      </w:r>
      <w:r>
        <w:rPr>
          <w:rFonts w:hint="eastAsia" w:ascii="Times New Roman" w:hAnsi="Times New Roman" w:eastAsia="仿宋_GB2312" w:cs="Times New Roman"/>
          <w:b w:val="0"/>
          <w:bCs w:val="0"/>
          <w:snapToGrid w:val="0"/>
          <w:color w:val="000000"/>
          <w:spacing w:val="13"/>
          <w:kern w:val="0"/>
          <w:sz w:val="32"/>
          <w:szCs w:val="32"/>
          <w:lang w:val="en-US" w:eastAsia="zh-CN" w:bidi="ar-SA"/>
        </w:rPr>
        <w:t>、APP</w:t>
      </w:r>
      <w:r>
        <w:rPr>
          <w:rFonts w:hint="eastAsia" w:ascii="仿宋_GB2312" w:hAnsi="仿宋_GB2312" w:eastAsia="仿宋_GB2312" w:cs="仿宋_GB2312"/>
          <w:b w:val="0"/>
          <w:bCs w:val="0"/>
          <w:snapToGrid w:val="0"/>
          <w:color w:val="000000"/>
          <w:spacing w:val="13"/>
          <w:kern w:val="0"/>
          <w:sz w:val="32"/>
          <w:szCs w:val="32"/>
          <w:lang w:val="en-US" w:eastAsia="zh-CN" w:bidi="ar-SA"/>
        </w:rPr>
        <w:t>推送等方式将预警信息精准推送至管理人员，明确隐患位置、隐患类型及处置要求，构建形成“异常自动发现—快速预警—精准派单”的闭环处置机制。平台已累计发出异常自动预警</w:t>
      </w:r>
      <w:r>
        <w:rPr>
          <w:rFonts w:hint="eastAsia" w:ascii="Times New Roman" w:hAnsi="Times New Roman" w:eastAsia="仿宋_GB2312" w:cs="Times New Roman"/>
          <w:b w:val="0"/>
          <w:bCs w:val="0"/>
          <w:snapToGrid w:val="0"/>
          <w:color w:val="000000"/>
          <w:spacing w:val="13"/>
          <w:kern w:val="0"/>
          <w:sz w:val="32"/>
          <w:szCs w:val="32"/>
          <w:lang w:val="en-US" w:eastAsia="zh-CN" w:bidi="ar-SA"/>
        </w:rPr>
        <w:t>150</w:t>
      </w:r>
      <w:r>
        <w:rPr>
          <w:rFonts w:hint="eastAsia" w:ascii="仿宋_GB2312" w:hAnsi="仿宋_GB2312" w:eastAsia="仿宋_GB2312" w:cs="仿宋_GB2312"/>
          <w:b w:val="0"/>
          <w:bCs w:val="0"/>
          <w:snapToGrid w:val="0"/>
          <w:color w:val="000000"/>
          <w:spacing w:val="13"/>
          <w:kern w:val="0"/>
          <w:sz w:val="32"/>
          <w:szCs w:val="32"/>
          <w:lang w:val="en-US" w:eastAsia="zh-CN" w:bidi="ar-SA"/>
        </w:rPr>
        <w:t>余次，推动相关单位及时排查整改管网泄漏、压力不足等隐患，推动消防安全实现从“被动应对”向“主动防控”的转变。</w:t>
      </w:r>
    </w:p>
    <w:p w14:paraId="74FEF3F4">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86" w:firstLineChars="200"/>
        <w:jc w:val="center"/>
        <w:textAlignment w:val="baseline"/>
        <w:outlineLvl w:val="1"/>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47" w:name="_Toc19802"/>
      <w:r>
        <w:rPr>
          <w:rFonts w:hint="eastAsia" w:ascii="方正楷体简体" w:hAnsi="方正楷体简体" w:eastAsia="方正楷体简体" w:cs="方正楷体简体"/>
          <w:b/>
          <w:bCs/>
          <w:snapToGrid w:val="0"/>
          <w:color w:val="000000"/>
          <w:spacing w:val="9"/>
          <w:kern w:val="0"/>
          <w:sz w:val="32"/>
          <w:szCs w:val="32"/>
          <w:lang w:val="en-US" w:eastAsia="zh-CN" w:bidi="ar-SA"/>
        </w:rPr>
        <w:t>第二节   存在的问题</w:t>
      </w:r>
      <w:bookmarkEnd w:id="147"/>
    </w:p>
    <w:p w14:paraId="22EC4B07">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我县在应急管理信息化建设推进过程中，虽已取得一定成效，但受场地条件、资源配置等因素制约，仍存在一些短板与不足。</w:t>
      </w:r>
    </w:p>
    <w:p w14:paraId="37F9F53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方正仿宋_GB2312" w:hAnsi="方正仿宋_GB2312" w:eastAsia="方正仿宋_GB2312" w:cs="方正仿宋_GB2312"/>
          <w:b w:val="0"/>
          <w:bCs w:val="0"/>
          <w:color w:val="auto"/>
          <w:spacing w:val="0"/>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一、应急指挥中心场地受限，制约多部门协同效能发挥</w:t>
      </w:r>
    </w:p>
    <w:p w14:paraId="55DC1FC7">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现有应急指挥中心场地面积不足，无法满足多部门集中办公、联合值守、会商研判与应急指挥同步开展的实际需求，导致应急、消防、气象等相关部门信息传递、决策会商效率下降，协同处置效能偏低。同时，现有场地条件不符合现代化应急指挥体系建设要求，难以适配信息化指挥平台实战应用需求，无法实现全域应急态势集中可视化调度，削弱了指挥统筹协调能力，阻碍了指令下达、态势研判、资源调度的信息化闭环形成，大幅降低了信息化对协同处置的赋能作用。</w:t>
      </w:r>
    </w:p>
    <w:p w14:paraId="014EC48D">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仿宋_GB2312" w:hAnsi="仿宋_GB2312" w:eastAsia="仿宋_GB2312" w:cs="仿宋_GB2312"/>
          <w:b/>
          <w:bCs/>
          <w:snapToGrid w:val="0"/>
          <w:color w:val="000000"/>
          <w:spacing w:val="9"/>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二、重点领域前端感知设备部署不完善，物联网监测覆盖存在盲区</w:t>
      </w:r>
    </w:p>
    <w:p w14:paraId="54D6FF64">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现有应急平台虽已接入消防水压、室内外消火栓、危险化学品等部分领域的物联网智能监测设备，初步建成局部区域智能监测网络，但关键领域前端感知覆盖仍存在明显短板。一是森林防火、防汛抗旱、燃气安全、气象预警等重点领域前端感知设备部署亟待完善，尚未形成全领域、无盲区的监测体系，对森林火情、汛情旱情、燃气泄漏、极端气象等风险隐患的实时监测、早期预警能力不足。二是感知设备覆盖不全面，部分高风险领域仍依赖人工巡检等传统方式，不仅效率偏低，且难以提前发现隐蔽性、突发性风险，无法为应急决策提供全面、精准、实时的数据支撑，影响了应急管理从“被动应对”向“主动防控”转变的推进进程。</w:t>
      </w:r>
    </w:p>
    <w:p w14:paraId="79E25FD0">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86" w:firstLineChars="200"/>
        <w:jc w:val="center"/>
        <w:textAlignment w:val="baseline"/>
        <w:outlineLvl w:val="1"/>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48" w:name="_Toc30298"/>
      <w:r>
        <w:rPr>
          <w:rFonts w:hint="eastAsia" w:ascii="方正楷体简体" w:hAnsi="方正楷体简体" w:eastAsia="方正楷体简体" w:cs="方正楷体简体"/>
          <w:b/>
          <w:bCs/>
          <w:snapToGrid w:val="0"/>
          <w:color w:val="000000"/>
          <w:spacing w:val="9"/>
          <w:kern w:val="0"/>
          <w:sz w:val="32"/>
          <w:szCs w:val="32"/>
          <w:lang w:val="en-US" w:eastAsia="zh-CN" w:bidi="ar-SA"/>
        </w:rPr>
        <w:t>第三节    发展机遇</w:t>
      </w:r>
      <w:bookmarkEnd w:id="148"/>
    </w:p>
    <w:p w14:paraId="5B60064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方正仿宋_GB2312" w:hAnsi="方正仿宋_GB2312" w:eastAsia="方正仿宋_GB2312" w:cs="方正仿宋_GB2312"/>
          <w:b w:val="0"/>
          <w:bCs w:val="0"/>
          <w:color w:val="auto"/>
          <w:spacing w:val="0"/>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一、党和政府战略发展引领，夯实政策与组织双保障</w:t>
      </w:r>
    </w:p>
    <w:p w14:paraId="4BA1F15A">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default"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战略部署持续强化，为应急信息化建设提供了明确方向指引。推进应急管理体系和能力现代化，是国家治理现代化的重要内容，安全发展理念已贯穿经济社会发展全过程各领域。县域作为承上启下的关键层级，在防范化解重大风险、保障人民群众生命财产安全方面承担直接责任，这为我县应急管理科技与信息化建设明确了政策导向，拓展了长期发展空间。</w:t>
      </w:r>
    </w:p>
    <w:p w14:paraId="7E8979D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方正仿宋_GB2312" w:hAnsi="方正仿宋_GB2312" w:eastAsia="方正仿宋_GB2312" w:cs="方正仿宋_GB2312"/>
          <w:b/>
          <w:bCs/>
          <w:snapToGrid w:val="0"/>
          <w:color w:val="000000"/>
          <w:spacing w:val="9"/>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二、信息技术与科技创新赋能，强化硬核支撑能力</w:t>
      </w:r>
    </w:p>
    <w:p w14:paraId="144A740C">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Times New Roman" w:hAnsi="Times New Roman" w:eastAsia="仿宋_GB2312" w:cs="Times New Roman"/>
          <w:b w:val="0"/>
          <w:bCs w:val="0"/>
          <w:snapToGrid w:val="0"/>
          <w:color w:val="000000"/>
          <w:spacing w:val="13"/>
          <w:kern w:val="0"/>
          <w:sz w:val="32"/>
          <w:szCs w:val="32"/>
          <w:lang w:val="en-US" w:eastAsia="zh-CN" w:bidi="ar-SA"/>
        </w:rPr>
        <w:t>　　5G、AI、</w:t>
      </w:r>
      <w:r>
        <w:rPr>
          <w:rFonts w:hint="eastAsia" w:ascii="仿宋_GB2312" w:hAnsi="仿宋_GB2312" w:eastAsia="仿宋_GB2312" w:cs="仿宋_GB2312"/>
          <w:b w:val="0"/>
          <w:bCs w:val="0"/>
          <w:snapToGrid w:val="0"/>
          <w:color w:val="000000"/>
          <w:spacing w:val="13"/>
          <w:kern w:val="0"/>
          <w:sz w:val="32"/>
          <w:szCs w:val="32"/>
          <w:lang w:val="en-US" w:eastAsia="zh-CN" w:bidi="ar-SA"/>
        </w:rPr>
        <w:t>大数据等新一代信息技术与应急管理场景深度融合，将为我县应急能力提升提供坚实技术支撑。新疆气象“新基建”布局的智能观测站、激光测风雷达已在南疆地区取得显著灾害监测实效，可直接适配我县沙尘、暴雨等灾害防控实际需求，为我县防灾减灾提供成熟技术支撑。同时，高通量卫星便携站、卫星通信终端等装备的普及应用，能够有效破解县域极端条件下“三断”通信保障难题，依托技术成本下降与服务效能提升的双重优势，推动风险监测、指挥调度逐步从传统模式向智能化、精准化转型升级。</w:t>
      </w:r>
    </w:p>
    <w:p w14:paraId="41D105A5">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outlineLvl w:val="2"/>
        <w:rPr>
          <w:rFonts w:hint="eastAsia" w:ascii="方正仿宋_GB2312" w:hAnsi="方正仿宋_GB2312" w:eastAsia="方正仿宋_GB2312" w:cs="方正仿宋_GB2312"/>
          <w:b/>
          <w:bCs/>
          <w:snapToGrid w:val="0"/>
          <w:color w:val="000000"/>
          <w:spacing w:val="9"/>
          <w:kern w:val="0"/>
          <w:sz w:val="32"/>
          <w:szCs w:val="32"/>
          <w:lang w:val="en-US" w:eastAsia="zh-CN" w:bidi="ar-SA"/>
        </w:rPr>
      </w:pPr>
      <w:r>
        <w:rPr>
          <w:rFonts w:hint="eastAsia" w:ascii="仿宋_GB2312" w:hAnsi="仿宋_GB2312" w:eastAsia="仿宋_GB2312" w:cs="仿宋_GB2312"/>
          <w:b/>
          <w:bCs/>
          <w:snapToGrid w:val="0"/>
          <w:color w:val="000000"/>
          <w:spacing w:val="9"/>
          <w:kern w:val="0"/>
          <w:sz w:val="32"/>
          <w:szCs w:val="32"/>
          <w:lang w:val="en-US" w:eastAsia="zh-CN" w:bidi="ar-SA"/>
        </w:rPr>
        <w:t>　　三、智慧应急导向鲜明，以需求牵引实效转化</w:t>
      </w:r>
    </w:p>
    <w:p w14:paraId="008639B9">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Times New Roman" w:hAnsi="Times New Roman" w:eastAsia="仿宋_GB2312" w:cs="Times New Roman"/>
          <w:b w:val="0"/>
          <w:bCs w:val="0"/>
          <w:snapToGrid w:val="0"/>
          <w:color w:val="000000"/>
          <w:spacing w:val="13"/>
          <w:kern w:val="0"/>
          <w:sz w:val="32"/>
          <w:szCs w:val="32"/>
          <w:lang w:val="en-US" w:eastAsia="zh-CN" w:bidi="ar-SA"/>
        </w:rPr>
        <w:t>　　2025</w:t>
      </w:r>
      <w:r>
        <w:rPr>
          <w:rFonts w:hint="eastAsia" w:ascii="仿宋_GB2312" w:hAnsi="仿宋_GB2312" w:eastAsia="仿宋_GB2312" w:cs="仿宋_GB2312"/>
          <w:b w:val="0"/>
          <w:bCs w:val="0"/>
          <w:snapToGrid w:val="0"/>
          <w:color w:val="000000"/>
          <w:spacing w:val="13"/>
          <w:kern w:val="0"/>
          <w:sz w:val="32"/>
          <w:szCs w:val="32"/>
          <w:lang w:val="en-US" w:eastAsia="zh-CN" w:bidi="ar-SA"/>
        </w:rPr>
        <w:t>年我县政府工作报告中明确提出加强自然灾害综合监测预警能力建设，为智慧应急建设明确了需求导向。从应急指挥平台搭建、</w:t>
      </w:r>
      <w:r>
        <w:rPr>
          <w:rFonts w:hint="eastAsia" w:ascii="Times New Roman" w:hAnsi="Times New Roman" w:eastAsia="仿宋_GB2312" w:cs="Times New Roman"/>
          <w:b w:val="0"/>
          <w:bCs w:val="0"/>
          <w:snapToGrid w:val="0"/>
          <w:color w:val="000000"/>
          <w:spacing w:val="13"/>
          <w:kern w:val="0"/>
          <w:sz w:val="32"/>
          <w:szCs w:val="32"/>
          <w:lang w:val="en-US" w:eastAsia="zh-CN" w:bidi="ar-SA"/>
        </w:rPr>
        <w:t>3D/VR</w:t>
      </w:r>
      <w:r>
        <w:rPr>
          <w:rFonts w:hint="eastAsia" w:ascii="仿宋_GB2312" w:hAnsi="仿宋_GB2312" w:eastAsia="仿宋_GB2312" w:cs="仿宋_GB2312"/>
          <w:b w:val="0"/>
          <w:bCs w:val="0"/>
          <w:snapToGrid w:val="0"/>
          <w:color w:val="000000"/>
          <w:spacing w:val="13"/>
          <w:kern w:val="0"/>
          <w:sz w:val="32"/>
          <w:szCs w:val="32"/>
          <w:lang w:val="en-US" w:eastAsia="zh-CN" w:bidi="ar-SA"/>
        </w:rPr>
        <w:t>应急培训，到“监测-预警-处置-安置”闭环机制构建，均可复用外地“平战结合”应急广播体系、地质灾害精准靶向平台等成熟经验，既契合县域防洪治理、隐患排查等实际工作需求，又能通过完善“预警-叫应-反馈”全链条机制，推动应急能力与社会治理现代化协同提升。</w:t>
      </w:r>
    </w:p>
    <w:p w14:paraId="1E442537">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902" w:firstLineChars="20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p>
    <w:p w14:paraId="0C80B818">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60" w:lineRule="exact"/>
        <w:ind w:left="0" w:leftChars="0" w:right="0" w:firstLine="874" w:firstLineChars="200"/>
        <w:jc w:val="center"/>
        <w:textAlignment w:val="auto"/>
        <w:outlineLvl w:val="0"/>
        <w:rPr>
          <w:rFonts w:hint="eastAsia" w:ascii="黑体" w:hAnsi="黑体" w:eastAsia="黑体" w:cs="黑体"/>
          <w:b w:val="0"/>
          <w:bCs w:val="0"/>
          <w:color w:val="auto"/>
          <w:sz w:val="32"/>
          <w:szCs w:val="32"/>
          <w:lang w:val="en-US" w:eastAsia="zh-CN" w:bidi="ar-SA"/>
        </w:rPr>
      </w:pPr>
      <w:bookmarkStart w:id="149" w:name="_Toc4434"/>
      <w:r>
        <w:rPr>
          <w:rFonts w:hint="eastAsia" w:ascii="黑体" w:hAnsi="黑体" w:eastAsia="黑体" w:cs="黑体"/>
          <w:b w:val="0"/>
          <w:bCs w:val="0"/>
          <w:snapToGrid w:val="0"/>
          <w:color w:val="000000"/>
          <w:spacing w:val="6"/>
          <w:kern w:val="0"/>
          <w:position w:val="1"/>
          <w:sz w:val="32"/>
          <w:szCs w:val="32"/>
          <w:lang w:val="en-US" w:eastAsia="zh-CN" w:bidi="ar-SA"/>
        </w:rPr>
        <w:t>第二章  指导思想、基本原则和规划目</w:t>
      </w:r>
      <w:r>
        <w:rPr>
          <w:rFonts w:hint="eastAsia" w:ascii="黑体" w:hAnsi="黑体" w:eastAsia="黑体" w:cs="黑体"/>
          <w:b w:val="0"/>
          <w:bCs w:val="0"/>
          <w:color w:val="auto"/>
          <w:sz w:val="32"/>
          <w:szCs w:val="32"/>
          <w:lang w:val="en-US" w:eastAsia="zh-CN" w:bidi="ar-SA"/>
        </w:rPr>
        <w:t>标</w:t>
      </w:r>
      <w:bookmarkEnd w:id="149"/>
    </w:p>
    <w:p w14:paraId="0376DC4E">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86" w:firstLineChars="200"/>
        <w:jc w:val="center"/>
        <w:textAlignment w:val="baseline"/>
        <w:outlineLvl w:val="1"/>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50" w:name="_Toc26222"/>
      <w:r>
        <w:rPr>
          <w:rFonts w:hint="eastAsia" w:ascii="方正楷体简体" w:hAnsi="方正楷体简体" w:eastAsia="方正楷体简体" w:cs="方正楷体简体"/>
          <w:b/>
          <w:bCs/>
          <w:snapToGrid w:val="0"/>
          <w:color w:val="000000"/>
          <w:spacing w:val="9"/>
          <w:kern w:val="0"/>
          <w:sz w:val="32"/>
          <w:szCs w:val="32"/>
          <w:lang w:val="en-US" w:eastAsia="zh-CN" w:bidi="ar-SA"/>
        </w:rPr>
        <w:t>第一节   指导思想</w:t>
      </w:r>
      <w:bookmarkEnd w:id="150"/>
    </w:p>
    <w:p w14:paraId="09AEA642">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我县应急管理科技和信息化建设，以习近平新时代中国特色社会主义思想为指导，深入贯彻党的二十大和二十届历次全会精神，全面落实习近平总书记关于应急管理、新疆工作的重要论述，完整准确贯彻新时代党的治疆方略，紧扣社会稳定和长治久安总目标，坚持人民至上、生命至上，统筹发展和安全，以新质生产力赋能应急新质战斗力，立足县域灾害风险防控实际，聚焦统筹集约、创新引领、实战实效、重心下沉，深化大数据、人工智能等技术融合应用，推动公共安全治理向事前预防转型，健全智慧应急体系，夯实全域监测预警、指挥调度、应急救援科技支撑，以高水平科技信息化保障县域应急管理体系和能力现代化，护航地方高质量发展。</w:t>
      </w:r>
    </w:p>
    <w:p w14:paraId="1FC6FF43">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86" w:firstLineChars="200"/>
        <w:jc w:val="center"/>
        <w:textAlignment w:val="baseline"/>
        <w:outlineLvl w:val="1"/>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51" w:name="_Toc32062"/>
      <w:r>
        <w:rPr>
          <w:rFonts w:hint="eastAsia" w:ascii="方正楷体简体" w:hAnsi="方正楷体简体" w:eastAsia="方正楷体简体" w:cs="方正楷体简体"/>
          <w:b/>
          <w:bCs/>
          <w:snapToGrid w:val="0"/>
          <w:color w:val="000000"/>
          <w:spacing w:val="9"/>
          <w:kern w:val="0"/>
          <w:sz w:val="32"/>
          <w:szCs w:val="32"/>
          <w:lang w:val="en-US" w:eastAsia="zh-CN" w:bidi="ar-SA"/>
        </w:rPr>
        <w:t>第二节   基本原则</w:t>
      </w:r>
      <w:bookmarkEnd w:id="151"/>
    </w:p>
    <w:p w14:paraId="1F206E7B">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政治引领、统筹推进。坚持将党建引领贯穿应急管理科技与信息化建设全过程，借鉴数字政府建设经验，统筹整合多部门资源构建“大应急”信息化格局，形成上下联动、协同高效的工作体系。</w:t>
      </w:r>
    </w:p>
    <w:p w14:paraId="26EB9B62">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科技赋能、实战导向。依托人工智能、大数据等新技术，聚焦沙尘、洪涝等县域灾害防控痛点难点，推广无人机、智能监测等装备应用，推动技术应用与应急实战场景深度融合。</w:t>
      </w:r>
    </w:p>
    <w:p w14:paraId="60C492D6">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数据融通、安全可控。搭建统一应急数字底座，打通跨部门数据壁垒，强化网络安全保障，确保数据资源安全规范管理使用。</w:t>
      </w:r>
    </w:p>
    <w:p w14:paraId="22907E2E">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因地制宜、循序渐进。立足县域实际复用成熟经验，坚持试点先行、分步实施，兼顾信息化水平提升与基层承载能力，稳步推进应急管理智能化升级，筑牢社会稳定和长治久安的安全防线。</w:t>
      </w:r>
    </w:p>
    <w:p w14:paraId="3B25A7F8">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86" w:firstLineChars="200"/>
        <w:jc w:val="center"/>
        <w:textAlignment w:val="baseline"/>
        <w:outlineLvl w:val="1"/>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52" w:name="_Toc7636"/>
      <w:r>
        <w:rPr>
          <w:rFonts w:hint="eastAsia" w:ascii="方正楷体简体" w:hAnsi="方正楷体简体" w:eastAsia="方正楷体简体" w:cs="方正楷体简体"/>
          <w:b/>
          <w:bCs/>
          <w:snapToGrid w:val="0"/>
          <w:color w:val="000000"/>
          <w:spacing w:val="9"/>
          <w:kern w:val="0"/>
          <w:sz w:val="32"/>
          <w:szCs w:val="32"/>
          <w:lang w:val="en-US" w:eastAsia="zh-CN" w:bidi="ar-SA"/>
        </w:rPr>
        <w:t>第三节   规划目标</w:t>
      </w:r>
      <w:bookmarkEnd w:id="152"/>
    </w:p>
    <w:p w14:paraId="028673CB">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692"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立足本县地质灾害多发频发、乡村监测网络覆盖不足、部门数据壁垒突出的实际，以智慧应急赋能全域安全治理。到</w:t>
      </w:r>
      <w:r>
        <w:rPr>
          <w:rFonts w:hint="eastAsia" w:ascii="Times New Roman" w:hAnsi="Times New Roman" w:eastAsia="仿宋_GB2312" w:cs="Times New Roman"/>
          <w:b w:val="0"/>
          <w:bCs w:val="0"/>
          <w:snapToGrid w:val="0"/>
          <w:color w:val="000000"/>
          <w:spacing w:val="13"/>
          <w:kern w:val="0"/>
          <w:sz w:val="32"/>
          <w:szCs w:val="32"/>
          <w:lang w:val="en-US" w:eastAsia="zh-CN" w:bidi="ar-SA"/>
        </w:rPr>
        <w:t>2030</w:t>
      </w:r>
      <w:r>
        <w:rPr>
          <w:rFonts w:hint="eastAsia" w:ascii="仿宋_GB2312" w:hAnsi="仿宋_GB2312" w:eastAsia="仿宋_GB2312" w:cs="仿宋_GB2312"/>
          <w:b w:val="0"/>
          <w:bCs w:val="0"/>
          <w:snapToGrid w:val="0"/>
          <w:color w:val="000000"/>
          <w:spacing w:val="13"/>
          <w:kern w:val="0"/>
          <w:sz w:val="32"/>
          <w:szCs w:val="32"/>
          <w:lang w:val="en-US" w:eastAsia="zh-CN" w:bidi="ar-SA"/>
        </w:rPr>
        <w:t>年，建成一体化应急指挥平台，实现重点区域监测感知覆盖率达到</w:t>
      </w:r>
      <w:r>
        <w:rPr>
          <w:rFonts w:hint="eastAsia" w:ascii="Times New Roman" w:hAnsi="Times New Roman" w:eastAsia="仿宋_GB2312" w:cs="Times New Roman"/>
          <w:b w:val="0"/>
          <w:bCs w:val="0"/>
          <w:snapToGrid w:val="0"/>
          <w:color w:val="000000"/>
          <w:spacing w:val="13"/>
          <w:kern w:val="0"/>
          <w:sz w:val="32"/>
          <w:szCs w:val="32"/>
          <w:lang w:val="en-US" w:eastAsia="zh-CN" w:bidi="ar-SA"/>
        </w:rPr>
        <w:t>100%</w:t>
      </w:r>
      <w:r>
        <w:rPr>
          <w:rFonts w:hint="eastAsia" w:ascii="仿宋_GB2312" w:hAnsi="仿宋_GB2312" w:eastAsia="仿宋_GB2312" w:cs="仿宋_GB2312"/>
          <w:b w:val="0"/>
          <w:bCs w:val="0"/>
          <w:snapToGrid w:val="0"/>
          <w:color w:val="000000"/>
          <w:spacing w:val="13"/>
          <w:kern w:val="0"/>
          <w:sz w:val="32"/>
          <w:szCs w:val="32"/>
          <w:lang w:val="en-US" w:eastAsia="zh-CN" w:bidi="ar-SA"/>
        </w:rPr>
        <w:t>，乡镇、村级应急通信通达率达到</w:t>
      </w:r>
      <w:r>
        <w:rPr>
          <w:rFonts w:hint="eastAsia" w:ascii="Times New Roman" w:hAnsi="Times New Roman" w:eastAsia="仿宋_GB2312" w:cs="Times New Roman"/>
          <w:b w:val="0"/>
          <w:bCs w:val="0"/>
          <w:snapToGrid w:val="0"/>
          <w:color w:val="000000"/>
          <w:spacing w:val="13"/>
          <w:kern w:val="0"/>
          <w:sz w:val="32"/>
          <w:szCs w:val="32"/>
          <w:lang w:val="en-US" w:eastAsia="zh-CN" w:bidi="ar-SA"/>
        </w:rPr>
        <w:t>100%</w:t>
      </w:r>
      <w:r>
        <w:rPr>
          <w:rFonts w:hint="eastAsia" w:ascii="仿宋_GB2312" w:hAnsi="仿宋_GB2312" w:eastAsia="仿宋_GB2312" w:cs="仿宋_GB2312"/>
          <w:b w:val="0"/>
          <w:bCs w:val="0"/>
          <w:snapToGrid w:val="0"/>
          <w:color w:val="000000"/>
          <w:spacing w:val="13"/>
          <w:kern w:val="0"/>
          <w:sz w:val="32"/>
          <w:szCs w:val="32"/>
          <w:lang w:val="en-US" w:eastAsia="zh-CN" w:bidi="ar-SA"/>
        </w:rPr>
        <w:t>，跨部门数据共享率达到</w:t>
      </w:r>
      <w:r>
        <w:rPr>
          <w:rFonts w:hint="eastAsia" w:ascii="Times New Roman" w:hAnsi="Times New Roman" w:eastAsia="仿宋_GB2312" w:cs="Times New Roman"/>
          <w:b w:val="0"/>
          <w:bCs w:val="0"/>
          <w:snapToGrid w:val="0"/>
          <w:color w:val="000000"/>
          <w:spacing w:val="13"/>
          <w:kern w:val="0"/>
          <w:sz w:val="32"/>
          <w:szCs w:val="32"/>
          <w:lang w:val="en-US" w:eastAsia="zh-CN" w:bidi="ar-SA"/>
        </w:rPr>
        <w:t>90%</w:t>
      </w:r>
      <w:r>
        <w:rPr>
          <w:rFonts w:hint="eastAsia" w:ascii="仿宋_GB2312" w:hAnsi="仿宋_GB2312" w:eastAsia="仿宋_GB2312" w:cs="仿宋_GB2312"/>
          <w:b w:val="0"/>
          <w:bCs w:val="0"/>
          <w:snapToGrid w:val="0"/>
          <w:color w:val="000000"/>
          <w:spacing w:val="13"/>
          <w:kern w:val="0"/>
          <w:sz w:val="32"/>
          <w:szCs w:val="32"/>
          <w:lang w:val="en-US" w:eastAsia="zh-CN" w:bidi="ar-SA"/>
        </w:rPr>
        <w:t>以上；风险智能预警提前量提升至</w:t>
      </w:r>
      <w:r>
        <w:rPr>
          <w:rFonts w:hint="eastAsia" w:ascii="Times New Roman" w:hAnsi="Times New Roman" w:eastAsia="仿宋_GB2312" w:cs="Times New Roman"/>
          <w:b w:val="0"/>
          <w:bCs w:val="0"/>
          <w:snapToGrid w:val="0"/>
          <w:color w:val="000000"/>
          <w:spacing w:val="13"/>
          <w:kern w:val="0"/>
          <w:sz w:val="32"/>
          <w:szCs w:val="32"/>
          <w:lang w:val="en-US" w:eastAsia="zh-CN" w:bidi="ar-SA"/>
        </w:rPr>
        <w:t>30</w:t>
      </w:r>
      <w:r>
        <w:rPr>
          <w:rFonts w:hint="eastAsia" w:ascii="仿宋_GB2312" w:hAnsi="仿宋_GB2312" w:eastAsia="仿宋_GB2312" w:cs="仿宋_GB2312"/>
          <w:b w:val="0"/>
          <w:bCs w:val="0"/>
          <w:snapToGrid w:val="0"/>
          <w:color w:val="000000"/>
          <w:spacing w:val="13"/>
          <w:kern w:val="0"/>
          <w:sz w:val="32"/>
          <w:szCs w:val="32"/>
          <w:lang w:val="en-US" w:eastAsia="zh-CN" w:bidi="ar-SA"/>
        </w:rPr>
        <w:t>分钟以内，应急处置指令直达响应时效压缩</w:t>
      </w:r>
      <w:r>
        <w:rPr>
          <w:rFonts w:hint="eastAsia" w:ascii="Times New Roman" w:hAnsi="Times New Roman" w:eastAsia="仿宋_GB2312" w:cs="Times New Roman"/>
          <w:b w:val="0"/>
          <w:bCs w:val="0"/>
          <w:snapToGrid w:val="0"/>
          <w:color w:val="000000"/>
          <w:spacing w:val="13"/>
          <w:kern w:val="0"/>
          <w:sz w:val="32"/>
          <w:szCs w:val="32"/>
          <w:lang w:val="en-US" w:eastAsia="zh-CN" w:bidi="ar-SA"/>
        </w:rPr>
        <w:t>40%</w:t>
      </w:r>
      <w:r>
        <w:rPr>
          <w:rFonts w:hint="eastAsia" w:ascii="仿宋_GB2312" w:hAnsi="仿宋_GB2312" w:eastAsia="仿宋_GB2312" w:cs="仿宋_GB2312"/>
          <w:b w:val="0"/>
          <w:bCs w:val="0"/>
          <w:snapToGrid w:val="0"/>
          <w:color w:val="000000"/>
          <w:spacing w:val="13"/>
          <w:kern w:val="0"/>
          <w:sz w:val="32"/>
          <w:szCs w:val="32"/>
          <w:lang w:val="en-US" w:eastAsia="zh-CN" w:bidi="ar-SA"/>
        </w:rPr>
        <w:t>；实现基层智能执法终端全覆盖，网络安全等级保护达标率达到</w:t>
      </w:r>
      <w:r>
        <w:rPr>
          <w:rFonts w:hint="eastAsia" w:ascii="Times New Roman" w:hAnsi="Times New Roman" w:eastAsia="仿宋_GB2312" w:cs="Times New Roman"/>
          <w:b w:val="0"/>
          <w:bCs w:val="0"/>
          <w:snapToGrid w:val="0"/>
          <w:color w:val="000000"/>
          <w:spacing w:val="13"/>
          <w:kern w:val="0"/>
          <w:sz w:val="32"/>
          <w:szCs w:val="32"/>
          <w:lang w:val="en-US" w:eastAsia="zh-CN" w:bidi="ar-SA"/>
        </w:rPr>
        <w:t>100%</w:t>
      </w:r>
      <w:r>
        <w:rPr>
          <w:rFonts w:hint="eastAsia" w:ascii="仿宋_GB2312" w:hAnsi="仿宋_GB2312" w:eastAsia="仿宋_GB2312" w:cs="仿宋_GB2312"/>
          <w:b w:val="0"/>
          <w:bCs w:val="0"/>
          <w:snapToGrid w:val="0"/>
          <w:color w:val="000000"/>
          <w:spacing w:val="13"/>
          <w:kern w:val="0"/>
          <w:sz w:val="32"/>
          <w:szCs w:val="32"/>
          <w:lang w:val="en-US" w:eastAsia="zh-CN" w:bidi="ar-SA"/>
        </w:rPr>
        <w:t>，构建形成全域感知、智能研判、扁平指挥、全程可溯的县域现代化应急管理信息化体系。</w:t>
      </w:r>
    </w:p>
    <w:p w14:paraId="7FD13039">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692"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p>
    <w:p w14:paraId="1E46D35C">
      <w:pPr>
        <w:keepNext w:val="0"/>
        <w:keepLines w:val="0"/>
        <w:pageBreakBefore w:val="0"/>
        <w:widowControl w:val="0"/>
        <w:kinsoku/>
        <w:wordWrap/>
        <w:overflowPunct/>
        <w:topLinePunct w:val="0"/>
        <w:autoSpaceDE/>
        <w:autoSpaceDN/>
        <w:bidi w:val="0"/>
        <w:adjustRightInd/>
        <w:snapToGrid/>
        <w:spacing w:afterAutospacing="0" w:line="560" w:lineRule="exact"/>
        <w:ind w:left="0" w:leftChars="0" w:right="0" w:firstLine="850" w:firstLineChars="200"/>
        <w:jc w:val="left"/>
        <w:textAlignment w:val="auto"/>
        <w:rPr>
          <w:rFonts w:hint="eastAsia" w:ascii="仿宋_GB2312" w:hAnsi="仿宋_GB2312" w:eastAsia="仿宋_GB2312" w:cs="仿宋_GB2312"/>
          <w:b w:val="0"/>
          <w:bCs w:val="0"/>
          <w:color w:val="auto"/>
          <w:spacing w:val="0"/>
          <w:kern w:val="0"/>
          <w:sz w:val="32"/>
          <w:szCs w:val="32"/>
          <w:lang w:val="en-US" w:eastAsia="zh-CN" w:bidi="ar-SA"/>
        </w:rPr>
      </w:pPr>
    </w:p>
    <w:p w14:paraId="46DBC899">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560" w:lineRule="exact"/>
        <w:ind w:left="0" w:leftChars="0" w:right="0" w:firstLine="862" w:firstLineChars="200"/>
        <w:jc w:val="center"/>
        <w:textAlignment w:val="auto"/>
        <w:outlineLvl w:val="0"/>
        <w:rPr>
          <w:rFonts w:hint="eastAsia" w:ascii="微软雅黑" w:hAnsi="微软雅黑" w:eastAsia="微软雅黑" w:cs="微软雅黑"/>
          <w:b w:val="0"/>
          <w:bCs w:val="0"/>
          <w:snapToGrid w:val="0"/>
          <w:color w:val="000000"/>
          <w:spacing w:val="3"/>
          <w:kern w:val="0"/>
          <w:sz w:val="36"/>
          <w:szCs w:val="36"/>
          <w:lang w:val="en-US" w:eastAsia="zh-CN" w:bidi="ar-SA"/>
        </w:rPr>
      </w:pPr>
      <w:bookmarkStart w:id="153" w:name="_Toc22191"/>
      <w:r>
        <w:rPr>
          <w:rFonts w:hint="eastAsia" w:ascii="黑体" w:hAnsi="黑体" w:eastAsia="黑体" w:cs="黑体"/>
          <w:b w:val="0"/>
          <w:bCs w:val="0"/>
          <w:snapToGrid w:val="0"/>
          <w:color w:val="000000"/>
          <w:spacing w:val="3"/>
          <w:kern w:val="0"/>
          <w:sz w:val="32"/>
          <w:szCs w:val="32"/>
          <w:lang w:val="en-US" w:eastAsia="zh-CN" w:bidi="ar-SA"/>
        </w:rPr>
        <w:t>第三章   主要任务</w:t>
      </w:r>
      <w:bookmarkEnd w:id="153"/>
    </w:p>
    <w:p w14:paraId="57BC2A76">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86" w:firstLineChars="200"/>
        <w:jc w:val="center"/>
        <w:textAlignment w:val="baseline"/>
        <w:outlineLvl w:val="1"/>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54" w:name="_Toc16186"/>
      <w:r>
        <w:rPr>
          <w:rFonts w:hint="eastAsia" w:ascii="方正楷体简体" w:hAnsi="方正楷体简体" w:eastAsia="方正楷体简体" w:cs="方正楷体简体"/>
          <w:b/>
          <w:bCs/>
          <w:snapToGrid w:val="0"/>
          <w:color w:val="000000"/>
          <w:spacing w:val="9"/>
          <w:kern w:val="0"/>
          <w:sz w:val="32"/>
          <w:szCs w:val="32"/>
          <w:lang w:val="en-US" w:eastAsia="zh-CN" w:bidi="ar-SA"/>
        </w:rPr>
        <w:t>第一节  推进信息化建设</w:t>
      </w:r>
      <w:bookmarkEnd w:id="154"/>
    </w:p>
    <w:p w14:paraId="37D183A5">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紧扣安全防控、基层应急治理实际需求，坚持统筹集约、融合共享、全域覆盖、末端贯通原则，以平台整合、数据汇聚、智能赋能、基层延伸为主线，推进应急管理科技信息化建设，构建现代化应急管理信息化支撑体系。建设县级应急指挥“一平台”，依托县级应急指挥中心，整合现有各类系统，统一搭建综合指挥平台，集成值班值守、信息报送、预警发布、指令传输、资源调度等核心功能，实现“统一入口、统一流程、一体运行”，有效破解多平台切换衔接不畅问题，提升指挥运转效能。</w:t>
      </w:r>
    </w:p>
    <w:p w14:paraId="66490940">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打造全域风险态势“一张图”，以县域统一地理底图为基底，叠加地质灾害隐患点、重点单位、燃气管网、学校医院等各类风险点位，汇聚整合基础设施、避难场所、救援力量及应急物资数据，实现风险底数、应急资源、救援力量等可视化展示，达成“一图知全域、一图统调度”的应用目标。完善多源监测感知网络，结合县域风险分布特点，在重点风险区域布设智能监测终端，融合物联感知数据与视频监控资源，打通气象、水利、自然资源等部门的数据共享通道，健全“监测-预警-叫应-处置”工作闭环，提升预警精准度和信息触达效率。</w:t>
      </w:r>
    </w:p>
    <w:p w14:paraId="57B97B1F">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bookmarkStart w:id="155" w:name="_Toc25462"/>
      <w:r>
        <w:rPr>
          <w:rFonts w:hint="eastAsia" w:ascii="仿宋_GB2312" w:hAnsi="仿宋_GB2312" w:eastAsia="仿宋_GB2312" w:cs="仿宋_GB2312"/>
          <w:b w:val="0"/>
          <w:bCs w:val="0"/>
          <w:snapToGrid w:val="0"/>
          <w:color w:val="000000"/>
          <w:spacing w:val="13"/>
          <w:kern w:val="0"/>
          <w:sz w:val="32"/>
          <w:szCs w:val="32"/>
          <w:lang w:val="en-US" w:eastAsia="zh-CN" w:bidi="ar-SA"/>
        </w:rPr>
        <w:t>　　深化应急预案数字化转型，推动各类应急预案、处置方案、联动清单完成数字化入库与平台内嵌，构建可执行的数字预案体系，实现预警触发后自动匹配处置流程、责任主体及资源调配方案，规范应急响应程序，降低人为偏差。延伸基层末端移动应用覆盖，为乡镇、村（社区）及基层网格员配置移动工作终端，实现隐患排查、事件速报、音视频回传、任务派单、整改销号全流程线上办理，构建“县级统筹—乡镇落实—村级处置”工作闭环，夯实基层应急末端处置能力。</w:t>
      </w:r>
    </w:p>
    <w:p w14:paraId="7A326B5A">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86" w:firstLineChars="200"/>
        <w:jc w:val="center"/>
        <w:textAlignment w:val="baseline"/>
        <w:outlineLvl w:val="1"/>
        <w:rPr>
          <w:rFonts w:hint="default" w:ascii="方正楷体简体" w:hAnsi="方正楷体简体" w:eastAsia="方正楷体简体" w:cs="方正楷体简体"/>
          <w:b/>
          <w:bCs/>
          <w:snapToGrid w:val="0"/>
          <w:color w:val="000000"/>
          <w:spacing w:val="9"/>
          <w:kern w:val="0"/>
          <w:sz w:val="32"/>
          <w:szCs w:val="32"/>
          <w:lang w:val="en-US" w:eastAsia="zh-CN" w:bidi="ar-SA"/>
        </w:rPr>
      </w:pPr>
      <w:r>
        <w:rPr>
          <w:rFonts w:hint="eastAsia" w:ascii="方正楷体简体" w:hAnsi="方正楷体简体" w:eastAsia="方正楷体简体" w:cs="方正楷体简体"/>
          <w:b/>
          <w:bCs/>
          <w:snapToGrid w:val="0"/>
          <w:color w:val="000000"/>
          <w:spacing w:val="9"/>
          <w:kern w:val="0"/>
          <w:sz w:val="32"/>
          <w:szCs w:val="32"/>
          <w:lang w:val="en-US" w:eastAsia="zh-CN" w:bidi="ar-SA"/>
        </w:rPr>
        <w:t>第二节  推进应急管理数字化管理与信息共享</w:t>
      </w:r>
      <w:bookmarkEnd w:id="155"/>
      <w:bookmarkStart w:id="156" w:name="_Toc22430"/>
    </w:p>
    <w:p w14:paraId="6394CC7A">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构建多源融合、分层布设的多层次监测网络，联动气象、水利、自然资源等部门，优化雨量、水位、地质灾害、风沙等监测站点布局，建立山洪、地质灾害重点监测村目录，配齐配强简易监测设备和群测群防工作力量。强化安全生产与事故风险监测预警，推动危化品、矿山、重大工程项目等高危行业企业完成视频监控联网和关键工艺参数在线监测布设，实现县级平台远程监测；依托现有道路监控、卡口系统及交警巡逻管控，对交通流量和事故多发点开展动态监测。</w:t>
      </w:r>
    </w:p>
    <w:p w14:paraId="54EE4A5E">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健全数据共享与会商研判机制，建设县级应急大数据平台，整合各相关部门监测数据，实现监测信息一屏总览、多部门数据互联互通；完善应急预案电子化管理，融合</w:t>
      </w:r>
      <w:r>
        <w:rPr>
          <w:rFonts w:hint="eastAsia" w:ascii="Times New Roman" w:hAnsi="Times New Roman" w:eastAsia="仿宋_GB2312" w:cs="Times New Roman"/>
          <w:b w:val="0"/>
          <w:bCs w:val="0"/>
          <w:snapToGrid w:val="0"/>
          <w:color w:val="000000"/>
          <w:spacing w:val="13"/>
          <w:kern w:val="0"/>
          <w:sz w:val="32"/>
          <w:szCs w:val="32"/>
          <w:lang w:val="en-US" w:eastAsia="zh-CN" w:bidi="ar-SA"/>
        </w:rPr>
        <w:t>GIS</w:t>
      </w:r>
      <w:r>
        <w:rPr>
          <w:rFonts w:hint="eastAsia" w:ascii="仿宋_GB2312" w:hAnsi="仿宋_GB2312" w:eastAsia="仿宋_GB2312" w:cs="仿宋_GB2312"/>
          <w:b w:val="0"/>
          <w:bCs w:val="0"/>
          <w:snapToGrid w:val="0"/>
          <w:color w:val="000000"/>
          <w:spacing w:val="13"/>
          <w:kern w:val="0"/>
          <w:sz w:val="32"/>
          <w:szCs w:val="32"/>
          <w:lang w:val="en-US" w:eastAsia="zh-CN" w:bidi="ar-SA"/>
        </w:rPr>
        <w:t>技术构建风险分布与应急资源“一张图”，配套建立多渠道预警与公众提示机制，提升应急决策与处置效能。</w:t>
      </w:r>
    </w:p>
    <w:p w14:paraId="3957AB8C">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886" w:firstLineChars="200"/>
        <w:jc w:val="center"/>
        <w:textAlignment w:val="baseline"/>
        <w:outlineLvl w:val="1"/>
        <w:rPr>
          <w:rFonts w:hint="eastAsia" w:ascii="方正楷体简体" w:hAnsi="方正楷体简体" w:eastAsia="方正楷体简体" w:cs="方正楷体简体"/>
          <w:b/>
          <w:bCs/>
          <w:snapToGrid w:val="0"/>
          <w:color w:val="000000"/>
          <w:spacing w:val="9"/>
          <w:kern w:val="0"/>
          <w:sz w:val="32"/>
          <w:szCs w:val="32"/>
          <w:lang w:val="en-US" w:eastAsia="zh-CN" w:bidi="ar-SA"/>
        </w:rPr>
      </w:pPr>
      <w:r>
        <w:rPr>
          <w:rFonts w:hint="eastAsia" w:ascii="方正楷体简体" w:hAnsi="方正楷体简体" w:eastAsia="方正楷体简体" w:cs="方正楷体简体"/>
          <w:b/>
          <w:bCs/>
          <w:snapToGrid w:val="0"/>
          <w:color w:val="000000"/>
          <w:spacing w:val="9"/>
          <w:kern w:val="0"/>
          <w:sz w:val="32"/>
          <w:szCs w:val="32"/>
          <w:lang w:val="en-US" w:eastAsia="zh-CN" w:bidi="ar-SA"/>
        </w:rPr>
        <w:t>第三节  推进基层应急信息化建设</w:t>
      </w:r>
      <w:bookmarkEnd w:id="156"/>
    </w:p>
    <w:p w14:paraId="77F5F396">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default" w:ascii="方正仿宋_GBK" w:hAnsi="方正仿宋_GBK" w:eastAsia="方正仿宋_GBK" w:cs="方正仿宋_GBK"/>
          <w:b w:val="0"/>
          <w:bCs w:val="0"/>
          <w:snapToGrid w:val="0"/>
          <w:color w:val="000000"/>
          <w:spacing w:val="13"/>
          <w:kern w:val="0"/>
          <w:sz w:val="31"/>
          <w:szCs w:val="31"/>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完善预警体系“最后一公里”传导部署，整合广播喇叭、短信平台、微信公众号等各类渠道，构建“县级发布—乡镇转发—村组落地”三级预警传导机制；在地质灾害隐患点、洪水易发区等重点区域建设简易监测预警设施，实现与县级平台联网运行。建设乡村应急综合信息平台，推动条件具备的乡镇建立综合指挥平台，实现与县级应急、公安、消防、水利等部门数据互联互通；探索推广“大喇叭+微信群”信息推送模式，提升风险信息收集发布的及时性和准确性。</w:t>
      </w:r>
    </w:p>
    <w:p w14:paraId="0A09DE6A">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600" w:lineRule="exact"/>
        <w:ind w:left="0" w:leftChars="0" w:right="0" w:firstLine="874" w:firstLineChars="200"/>
        <w:jc w:val="center"/>
        <w:textAlignment w:val="auto"/>
        <w:outlineLvl w:val="0"/>
        <w:rPr>
          <w:rFonts w:hint="eastAsia" w:ascii="黑体" w:hAnsi="黑体" w:eastAsia="黑体" w:cs="黑体"/>
          <w:b w:val="0"/>
          <w:bCs w:val="0"/>
          <w:snapToGrid w:val="0"/>
          <w:color w:val="000000"/>
          <w:spacing w:val="6"/>
          <w:kern w:val="0"/>
          <w:position w:val="1"/>
          <w:sz w:val="32"/>
          <w:szCs w:val="32"/>
          <w:lang w:val="en-US" w:eastAsia="zh-CN" w:bidi="ar-SA"/>
        </w:rPr>
      </w:pPr>
      <w:bookmarkStart w:id="157" w:name="_Toc10558"/>
    </w:p>
    <w:p w14:paraId="6EAC96F0">
      <w:pPr>
        <w:keepNext w:val="0"/>
        <w:keepLines w:val="0"/>
        <w:pageBreakBefore w:val="0"/>
        <w:widowControl w:val="0"/>
        <w:numPr>
          <w:ilvl w:val="0"/>
          <w:numId w:val="0"/>
        </w:numPr>
        <w:kinsoku/>
        <w:wordWrap/>
        <w:overflowPunct/>
        <w:topLinePunct w:val="0"/>
        <w:autoSpaceDE/>
        <w:autoSpaceDN/>
        <w:bidi w:val="0"/>
        <w:adjustRightInd/>
        <w:snapToGrid/>
        <w:spacing w:after="0" w:afterAutospacing="0" w:line="600" w:lineRule="exact"/>
        <w:ind w:left="0" w:leftChars="0" w:right="0" w:firstLine="874" w:firstLineChars="200"/>
        <w:jc w:val="center"/>
        <w:textAlignment w:val="auto"/>
        <w:outlineLvl w:val="0"/>
        <w:rPr>
          <w:rFonts w:hint="eastAsia" w:ascii="黑体" w:hAnsi="黑体" w:eastAsia="黑体" w:cs="黑体"/>
          <w:b w:val="0"/>
          <w:bCs w:val="0"/>
          <w:snapToGrid w:val="0"/>
          <w:color w:val="000000"/>
          <w:spacing w:val="6"/>
          <w:kern w:val="0"/>
          <w:position w:val="1"/>
          <w:sz w:val="32"/>
          <w:szCs w:val="32"/>
          <w:lang w:val="en-US" w:eastAsia="zh-CN" w:bidi="ar-SA"/>
        </w:rPr>
      </w:pPr>
      <w:r>
        <w:rPr>
          <w:rFonts w:hint="eastAsia" w:ascii="黑体" w:hAnsi="黑体" w:eastAsia="黑体" w:cs="黑体"/>
          <w:b w:val="0"/>
          <w:bCs w:val="0"/>
          <w:snapToGrid w:val="0"/>
          <w:color w:val="000000"/>
          <w:spacing w:val="6"/>
          <w:kern w:val="0"/>
          <w:position w:val="1"/>
          <w:sz w:val="32"/>
          <w:szCs w:val="32"/>
          <w:lang w:val="en-US" w:eastAsia="zh-CN" w:bidi="ar-SA"/>
        </w:rPr>
        <w:t>第四章 重点工程</w:t>
      </w:r>
      <w:bookmarkEnd w:id="157"/>
    </w:p>
    <w:p w14:paraId="0E46B861">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bookmarkStart w:id="158" w:name="_Toc5903"/>
      <w:r>
        <w:rPr>
          <w:rFonts w:hint="eastAsia" w:ascii="仿宋_GB2312" w:hAnsi="仿宋_GB2312" w:eastAsia="仿宋_GB2312" w:cs="仿宋_GB2312"/>
          <w:b w:val="0"/>
          <w:bCs w:val="0"/>
          <w:snapToGrid w:val="0"/>
          <w:color w:val="000000"/>
          <w:spacing w:val="13"/>
          <w:kern w:val="0"/>
          <w:sz w:val="32"/>
          <w:szCs w:val="32"/>
          <w:lang w:val="en-US" w:eastAsia="zh-CN" w:bidi="ar-SA"/>
        </w:rPr>
        <w:t>　　基于我县应急平台前端感知设备部署的短板，需要精准布局重点领域感知设备，确保重点领域监测无死角、数据可追溯、处置及时到位。打通数据联通壁垒，将所有新增感知设备数据统一接入县级应急大数据平台，规范数据接口标准，破除部门数据孤岛，推动重点领域监测数据实现一屏总览、同步分析、集中研判，提升数据利用效能。“十五五”期间拟重点建设应急平台前端感知设备数字化、智能化升级工程，总金额</w:t>
      </w:r>
      <w:r>
        <w:rPr>
          <w:rFonts w:hint="eastAsia" w:ascii="Times New Roman" w:hAnsi="Times New Roman" w:eastAsia="仿宋_GB2312" w:cs="Times New Roman"/>
          <w:b w:val="0"/>
          <w:bCs w:val="0"/>
          <w:snapToGrid w:val="0"/>
          <w:color w:val="000000"/>
          <w:spacing w:val="13"/>
          <w:kern w:val="0"/>
          <w:sz w:val="32"/>
          <w:szCs w:val="32"/>
          <w:lang w:val="en-US" w:eastAsia="zh-CN" w:bidi="ar-SA"/>
        </w:rPr>
        <w:t>2000</w:t>
      </w:r>
      <w:r>
        <w:rPr>
          <w:rFonts w:hint="eastAsia" w:ascii="仿宋_GB2312" w:hAnsi="仿宋_GB2312" w:eastAsia="仿宋_GB2312" w:cs="仿宋_GB2312"/>
          <w:b w:val="0"/>
          <w:bCs w:val="0"/>
          <w:snapToGrid w:val="0"/>
          <w:color w:val="000000"/>
          <w:spacing w:val="13"/>
          <w:kern w:val="0"/>
          <w:sz w:val="32"/>
          <w:szCs w:val="32"/>
          <w:lang w:val="en-US" w:eastAsia="zh-CN" w:bidi="ar-SA"/>
        </w:rPr>
        <w:t>万元，拟申请资金来源为一般债券，计划建设年限为</w:t>
      </w:r>
      <w:r>
        <w:rPr>
          <w:rFonts w:hint="eastAsia" w:ascii="Times New Roman" w:hAnsi="Times New Roman" w:eastAsia="仿宋_GB2312" w:cs="Times New Roman"/>
          <w:b w:val="0"/>
          <w:bCs w:val="0"/>
          <w:snapToGrid w:val="0"/>
          <w:color w:val="000000"/>
          <w:spacing w:val="13"/>
          <w:kern w:val="0"/>
          <w:sz w:val="32"/>
          <w:szCs w:val="32"/>
          <w:lang w:val="en-US" w:eastAsia="zh-CN" w:bidi="ar-SA"/>
        </w:rPr>
        <w:t>2029</w:t>
      </w:r>
      <w:r>
        <w:rPr>
          <w:rFonts w:hint="eastAsia" w:ascii="仿宋_GB2312" w:hAnsi="仿宋_GB2312" w:eastAsia="仿宋_GB2312" w:cs="仿宋_GB2312"/>
          <w:b w:val="0"/>
          <w:bCs w:val="0"/>
          <w:snapToGrid w:val="0"/>
          <w:color w:val="000000"/>
          <w:spacing w:val="13"/>
          <w:kern w:val="0"/>
          <w:sz w:val="32"/>
          <w:szCs w:val="32"/>
          <w:lang w:val="en-US" w:eastAsia="zh-CN" w:bidi="ar-SA"/>
        </w:rPr>
        <w:t>年。</w:t>
      </w:r>
    </w:p>
    <w:p w14:paraId="20CB4A43">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本工程主要内容包括</w:t>
      </w:r>
      <w:r>
        <w:rPr>
          <w:rFonts w:hint="default" w:ascii="Times New Roman" w:hAnsi="Times New Roman" w:eastAsia="仿宋_GB2312" w:cs="Times New Roman"/>
          <w:b w:val="0"/>
          <w:bCs w:val="0"/>
          <w:snapToGrid w:val="0"/>
          <w:color w:val="000000"/>
          <w:spacing w:val="13"/>
          <w:kern w:val="0"/>
          <w:sz w:val="32"/>
          <w:szCs w:val="32"/>
          <w:lang w:val="en-US" w:eastAsia="zh-CN" w:bidi="ar-SA"/>
        </w:rPr>
        <w:t>4</w:t>
      </w:r>
      <w:r>
        <w:rPr>
          <w:rFonts w:hint="eastAsia" w:ascii="仿宋_GB2312" w:hAnsi="仿宋_GB2312" w:eastAsia="仿宋_GB2312" w:cs="仿宋_GB2312"/>
          <w:b w:val="0"/>
          <w:bCs w:val="0"/>
          <w:snapToGrid w:val="0"/>
          <w:color w:val="000000"/>
          <w:spacing w:val="13"/>
          <w:kern w:val="0"/>
          <w:sz w:val="32"/>
          <w:szCs w:val="32"/>
          <w:lang w:val="en-US" w:eastAsia="zh-CN" w:bidi="ar-SA"/>
        </w:rPr>
        <w:t>个方面：一是森林防火领域，结合我县林区分布特点，在县域所有林区出入口布设高清监控及身份识别设备，重点防火路段每</w:t>
      </w:r>
      <w:r>
        <w:rPr>
          <w:rFonts w:hint="eastAsia" w:ascii="Times New Roman" w:hAnsi="Times New Roman" w:eastAsia="仿宋_GB2312" w:cs="Times New Roman"/>
          <w:b w:val="0"/>
          <w:bCs w:val="0"/>
          <w:snapToGrid w:val="0"/>
          <w:color w:val="000000"/>
          <w:spacing w:val="13"/>
          <w:kern w:val="0"/>
          <w:sz w:val="32"/>
          <w:szCs w:val="32"/>
          <w:lang w:val="en-US" w:eastAsia="zh-CN" w:bidi="ar-SA"/>
        </w:rPr>
        <w:t>5</w:t>
      </w:r>
      <w:r>
        <w:rPr>
          <w:rFonts w:hint="eastAsia" w:ascii="仿宋_GB2312" w:hAnsi="仿宋_GB2312" w:eastAsia="仿宋_GB2312" w:cs="仿宋_GB2312"/>
          <w:b w:val="0"/>
          <w:bCs w:val="0"/>
          <w:snapToGrid w:val="0"/>
          <w:color w:val="000000"/>
          <w:spacing w:val="13"/>
          <w:kern w:val="0"/>
          <w:sz w:val="32"/>
          <w:szCs w:val="32"/>
          <w:lang w:val="en-US" w:eastAsia="zh-CN" w:bidi="ar-SA"/>
        </w:rPr>
        <w:t>公里布设</w:t>
      </w:r>
      <w:r>
        <w:rPr>
          <w:rFonts w:hint="default" w:ascii="Times New Roman" w:hAnsi="Times New Roman" w:eastAsia="仿宋_GB2312" w:cs="Times New Roman"/>
          <w:b w:val="0"/>
          <w:bCs w:val="0"/>
          <w:snapToGrid w:val="0"/>
          <w:color w:val="000000"/>
          <w:spacing w:val="13"/>
          <w:kern w:val="0"/>
          <w:sz w:val="32"/>
          <w:szCs w:val="32"/>
          <w:lang w:val="en-US" w:eastAsia="zh-CN" w:bidi="ar-SA"/>
        </w:rPr>
        <w:t>1</w:t>
      </w:r>
      <w:r>
        <w:rPr>
          <w:rFonts w:hint="eastAsia" w:ascii="仿宋_GB2312" w:hAnsi="仿宋_GB2312" w:eastAsia="仿宋_GB2312" w:cs="仿宋_GB2312"/>
          <w:b w:val="0"/>
          <w:bCs w:val="0"/>
          <w:snapToGrid w:val="0"/>
          <w:color w:val="000000"/>
          <w:spacing w:val="13"/>
          <w:kern w:val="0"/>
          <w:sz w:val="32"/>
          <w:szCs w:val="32"/>
          <w:lang w:val="en-US" w:eastAsia="zh-CN" w:bidi="ar-SA"/>
        </w:rPr>
        <w:t>台红外热成像摄像头，林区腹地按网格划分，每</w:t>
      </w:r>
      <w:r>
        <w:rPr>
          <w:rFonts w:hint="eastAsia" w:ascii="Times New Roman" w:hAnsi="Times New Roman" w:eastAsia="仿宋_GB2312" w:cs="Times New Roman"/>
          <w:b w:val="0"/>
          <w:bCs w:val="0"/>
          <w:snapToGrid w:val="0"/>
          <w:color w:val="000000"/>
          <w:spacing w:val="13"/>
          <w:kern w:val="0"/>
          <w:sz w:val="32"/>
          <w:szCs w:val="32"/>
          <w:lang w:val="en-US" w:eastAsia="zh-CN" w:bidi="ar-SA"/>
        </w:rPr>
        <w:t>10</w:t>
      </w:r>
      <w:r>
        <w:rPr>
          <w:rFonts w:hint="eastAsia" w:ascii="仿宋_GB2312" w:hAnsi="仿宋_GB2312" w:eastAsia="仿宋_GB2312" w:cs="仿宋_GB2312"/>
          <w:b w:val="0"/>
          <w:bCs w:val="0"/>
          <w:snapToGrid w:val="0"/>
          <w:color w:val="000000"/>
          <w:spacing w:val="13"/>
          <w:kern w:val="0"/>
          <w:sz w:val="32"/>
          <w:szCs w:val="32"/>
          <w:lang w:val="en-US" w:eastAsia="zh-CN" w:bidi="ar-SA"/>
        </w:rPr>
        <w:t>平方公里布设</w:t>
      </w:r>
      <w:r>
        <w:rPr>
          <w:rFonts w:hint="default" w:ascii="Times New Roman" w:hAnsi="Times New Roman" w:eastAsia="仿宋_GB2312" w:cs="Times New Roman"/>
          <w:b w:val="0"/>
          <w:bCs w:val="0"/>
          <w:snapToGrid w:val="0"/>
          <w:color w:val="000000"/>
          <w:spacing w:val="13"/>
          <w:kern w:val="0"/>
          <w:sz w:val="32"/>
          <w:szCs w:val="32"/>
          <w:lang w:val="en-US" w:eastAsia="zh-CN" w:bidi="ar-SA"/>
        </w:rPr>
        <w:t>1</w:t>
      </w:r>
      <w:r>
        <w:rPr>
          <w:rFonts w:hint="eastAsia" w:ascii="仿宋_GB2312" w:hAnsi="仿宋_GB2312" w:eastAsia="仿宋_GB2312" w:cs="仿宋_GB2312"/>
          <w:b w:val="0"/>
          <w:bCs w:val="0"/>
          <w:snapToGrid w:val="0"/>
          <w:color w:val="000000"/>
          <w:spacing w:val="13"/>
          <w:kern w:val="0"/>
          <w:sz w:val="32"/>
          <w:szCs w:val="32"/>
          <w:lang w:val="en-US" w:eastAsia="zh-CN" w:bidi="ar-SA"/>
        </w:rPr>
        <w:t>组烟感探测器和温感探测器，同时为各乡镇配备</w:t>
      </w:r>
      <w:r>
        <w:rPr>
          <w:rFonts w:hint="default" w:ascii="Times New Roman" w:hAnsi="Times New Roman" w:eastAsia="仿宋_GB2312" w:cs="Times New Roman"/>
          <w:b w:val="0"/>
          <w:bCs w:val="0"/>
          <w:snapToGrid w:val="0"/>
          <w:color w:val="000000"/>
          <w:spacing w:val="13"/>
          <w:kern w:val="0"/>
          <w:sz w:val="32"/>
          <w:szCs w:val="32"/>
          <w:lang w:val="en-US" w:eastAsia="zh-CN" w:bidi="ar-SA"/>
        </w:rPr>
        <w:t>1</w:t>
      </w:r>
      <w:r>
        <w:rPr>
          <w:rFonts w:hint="eastAsia" w:ascii="仿宋_GB2312" w:hAnsi="仿宋_GB2312" w:eastAsia="仿宋_GB2312" w:cs="仿宋_GB2312"/>
          <w:b w:val="0"/>
          <w:bCs w:val="0"/>
          <w:snapToGrid w:val="0"/>
          <w:color w:val="000000"/>
          <w:spacing w:val="13"/>
          <w:kern w:val="0"/>
          <w:sz w:val="32"/>
          <w:szCs w:val="32"/>
          <w:lang w:val="en-US" w:eastAsia="zh-CN" w:bidi="ar-SA"/>
        </w:rPr>
        <w:t>台应急巡检无人机，组建专业巡检队伍，推行“空中巡检+地面监测”联动模式，监测到火情、烟情后第一时间触发声光报警，并推送至县级应急平台及相关责任人，实现火情早发现、早报警、早处置。二是防汛抗旱领域，针对县域河道、山洪沟、中小型水库及重点灌溉区，在河道关键断面、山洪沟口增设水位自动监测站，在重点区域每</w:t>
      </w:r>
      <w:r>
        <w:rPr>
          <w:rFonts w:hint="eastAsia" w:ascii="Times New Roman" w:hAnsi="Times New Roman" w:eastAsia="仿宋_GB2312" w:cs="Times New Roman"/>
          <w:b w:val="0"/>
          <w:bCs w:val="0"/>
          <w:snapToGrid w:val="0"/>
          <w:color w:val="000000"/>
          <w:spacing w:val="13"/>
          <w:kern w:val="0"/>
          <w:sz w:val="32"/>
          <w:szCs w:val="32"/>
          <w:lang w:val="en-US" w:eastAsia="zh-CN" w:bidi="ar-SA"/>
        </w:rPr>
        <w:t>2</w:t>
      </w:r>
      <w:r>
        <w:rPr>
          <w:rFonts w:hint="eastAsia" w:ascii="仿宋_GB2312" w:hAnsi="仿宋_GB2312" w:eastAsia="仿宋_GB2312" w:cs="仿宋_GB2312"/>
          <w:b w:val="0"/>
          <w:bCs w:val="0"/>
          <w:snapToGrid w:val="0"/>
          <w:color w:val="000000"/>
          <w:spacing w:val="13"/>
          <w:kern w:val="0"/>
          <w:sz w:val="32"/>
          <w:szCs w:val="32"/>
          <w:lang w:val="en-US" w:eastAsia="zh-CN" w:bidi="ar-SA"/>
        </w:rPr>
        <w:t>公里布设</w:t>
      </w:r>
      <w:r>
        <w:rPr>
          <w:rFonts w:hint="eastAsia" w:ascii="Times New Roman" w:hAnsi="Times New Roman" w:eastAsia="仿宋_GB2312" w:cs="Times New Roman"/>
          <w:b w:val="0"/>
          <w:bCs w:val="0"/>
          <w:snapToGrid w:val="0"/>
          <w:color w:val="000000"/>
          <w:spacing w:val="13"/>
          <w:kern w:val="0"/>
          <w:sz w:val="32"/>
          <w:szCs w:val="32"/>
          <w:lang w:val="en-US" w:eastAsia="zh-CN" w:bidi="ar-SA"/>
        </w:rPr>
        <w:t>1</w:t>
      </w:r>
      <w:r>
        <w:rPr>
          <w:rFonts w:hint="eastAsia" w:ascii="仿宋_GB2312" w:hAnsi="仿宋_GB2312" w:eastAsia="仿宋_GB2312" w:cs="仿宋_GB2312"/>
          <w:b w:val="0"/>
          <w:bCs w:val="0"/>
          <w:snapToGrid w:val="0"/>
          <w:color w:val="000000"/>
          <w:spacing w:val="13"/>
          <w:kern w:val="0"/>
          <w:sz w:val="32"/>
          <w:szCs w:val="32"/>
          <w:lang w:val="en-US" w:eastAsia="zh-CN" w:bidi="ar-SA"/>
        </w:rPr>
        <w:t>台雨量监测终端，在灌溉区合理布设墒情监测设备，联动现有水利部门监测站点，实现水情、旱情数据每</w:t>
      </w:r>
      <w:r>
        <w:rPr>
          <w:rFonts w:hint="eastAsia" w:ascii="Times New Roman" w:hAnsi="Times New Roman" w:eastAsia="仿宋_GB2312" w:cs="Times New Roman"/>
          <w:b w:val="0"/>
          <w:bCs w:val="0"/>
          <w:snapToGrid w:val="0"/>
          <w:color w:val="000000"/>
          <w:spacing w:val="13"/>
          <w:kern w:val="0"/>
          <w:sz w:val="32"/>
          <w:szCs w:val="32"/>
          <w:lang w:val="en-US" w:eastAsia="zh-CN" w:bidi="ar-SA"/>
        </w:rPr>
        <w:t>15</w:t>
      </w:r>
      <w:r>
        <w:rPr>
          <w:rFonts w:hint="eastAsia" w:ascii="仿宋_GB2312" w:hAnsi="仿宋_GB2312" w:eastAsia="仿宋_GB2312" w:cs="仿宋_GB2312"/>
          <w:b w:val="0"/>
          <w:bCs w:val="0"/>
          <w:snapToGrid w:val="0"/>
          <w:color w:val="000000"/>
          <w:spacing w:val="13"/>
          <w:kern w:val="0"/>
          <w:sz w:val="32"/>
          <w:szCs w:val="32"/>
          <w:lang w:val="en-US" w:eastAsia="zh-CN" w:bidi="ar-SA"/>
        </w:rPr>
        <w:t>分钟自动上报，异常情况即时预警，为防汛调度、抗旱供水提供精准数据支撑。三是燃气领域，实现燃气场站、主次干道燃气管网监测全覆盖，在场站关键部位加装气体浓度检测仪和压力传感器，老旧小区每户加装家用燃气泄漏报警器，立管关键节点加装压力监测设备，所有设备数据实时传输，一旦发生泄漏、压力异常情况，立即触发预警并推送至燃气经营企业和应急管理部门，同步联动应急处置队伍开展处置。四是气象领域，在县域城区、重点乡镇及偏远村落补充布设气象监测终端，重点完善风沙、暴雨、高温等极端天气监测设备，新增风速、降水、能见度等监测指标，实现气象数据全域覆盖、实时更新，为极端天气预警预判提供支撑。</w:t>
      </w:r>
      <w:bookmarkEnd w:id="158"/>
    </w:p>
    <w:p w14:paraId="1D495A01">
      <w:pPr>
        <w:keepNext w:val="0"/>
        <w:keepLines w:val="0"/>
        <w:pageBreakBefore w:val="0"/>
        <w:widowControl w:val="0"/>
        <w:numPr>
          <w:ilvl w:val="0"/>
          <w:numId w:val="0"/>
        </w:numPr>
        <w:kinsoku/>
        <w:wordWrap/>
        <w:overflowPunct/>
        <w:topLinePunct w:val="0"/>
        <w:autoSpaceDE/>
        <w:autoSpaceDN/>
        <w:bidi w:val="0"/>
        <w:spacing w:after="0" w:afterAutospacing="0" w:line="560" w:lineRule="exact"/>
        <w:ind w:left="0" w:leftChars="0" w:right="0" w:firstLine="874" w:firstLineChars="200"/>
        <w:jc w:val="center"/>
        <w:textAlignment w:val="auto"/>
        <w:outlineLvl w:val="0"/>
        <w:rPr>
          <w:rFonts w:hint="eastAsia" w:ascii="黑体" w:hAnsi="黑体" w:eastAsia="黑体" w:cs="黑体"/>
          <w:b w:val="0"/>
          <w:bCs w:val="0"/>
          <w:snapToGrid w:val="0"/>
          <w:color w:val="000000"/>
          <w:spacing w:val="6"/>
          <w:kern w:val="0"/>
          <w:position w:val="1"/>
          <w:sz w:val="32"/>
          <w:szCs w:val="32"/>
          <w:lang w:val="en-US" w:eastAsia="zh-CN" w:bidi="ar-SA"/>
        </w:rPr>
      </w:pPr>
      <w:bookmarkStart w:id="159" w:name="_Toc17454"/>
      <w:r>
        <w:rPr>
          <w:rFonts w:hint="eastAsia" w:ascii="黑体" w:hAnsi="黑体" w:eastAsia="黑体" w:cs="黑体"/>
          <w:b w:val="0"/>
          <w:bCs w:val="0"/>
          <w:snapToGrid w:val="0"/>
          <w:color w:val="000000"/>
          <w:spacing w:val="6"/>
          <w:kern w:val="0"/>
          <w:position w:val="1"/>
          <w:sz w:val="32"/>
          <w:szCs w:val="32"/>
          <w:lang w:val="en-US" w:eastAsia="zh-CN" w:bidi="ar-SA"/>
        </w:rPr>
        <w:t>第五章  保障措施</w:t>
      </w:r>
      <w:bookmarkEnd w:id="159"/>
    </w:p>
    <w:p w14:paraId="2733098C">
      <w:pPr>
        <w:keepNext w:val="0"/>
        <w:keepLines w:val="0"/>
        <w:pageBreakBefore w:val="0"/>
        <w:widowControl w:val="0"/>
        <w:numPr>
          <w:ilvl w:val="0"/>
          <w:numId w:val="0"/>
        </w:numPr>
        <w:kinsoku/>
        <w:wordWrap/>
        <w:overflowPunct/>
        <w:topLinePunct w:val="0"/>
        <w:autoSpaceDE/>
        <w:autoSpaceDN/>
        <w:bidi w:val="0"/>
        <w:spacing w:after="0" w:afterAutospacing="0" w:line="560" w:lineRule="exact"/>
        <w:ind w:left="0" w:leftChars="0" w:right="0" w:firstLine="886" w:firstLineChars="200"/>
        <w:jc w:val="center"/>
        <w:textAlignment w:val="auto"/>
        <w:outlineLvl w:val="0"/>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60" w:name="_Toc10864"/>
      <w:r>
        <w:rPr>
          <w:rFonts w:hint="eastAsia" w:ascii="方正楷体简体" w:hAnsi="方正楷体简体" w:eastAsia="方正楷体简体" w:cs="方正楷体简体"/>
          <w:b/>
          <w:bCs/>
          <w:snapToGrid w:val="0"/>
          <w:color w:val="000000"/>
          <w:spacing w:val="9"/>
          <w:kern w:val="0"/>
          <w:sz w:val="32"/>
          <w:szCs w:val="32"/>
          <w:lang w:val="en-US" w:eastAsia="zh-CN" w:bidi="ar-SA"/>
        </w:rPr>
        <w:t>第一节 组织保障</w:t>
      </w:r>
      <w:bookmarkEnd w:id="160"/>
    </w:p>
    <w:p w14:paraId="3492CCEF">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按照“统一领导、综合协调、分类管理、分级负责、属地为主”的原则，进一步优化县应急管理机构职能配置与运行机制，理顺应急管理与行业监管、行政执法之间的职责关系，推动形成权责清晰、运转高效的应急管理体制。</w:t>
      </w:r>
    </w:p>
    <w:p w14:paraId="5B33ED43">
      <w:pPr>
        <w:keepNext w:val="0"/>
        <w:keepLines w:val="0"/>
        <w:pageBreakBefore w:val="0"/>
        <w:widowControl w:val="0"/>
        <w:numPr>
          <w:ilvl w:val="0"/>
          <w:numId w:val="0"/>
        </w:numPr>
        <w:kinsoku/>
        <w:wordWrap/>
        <w:overflowPunct/>
        <w:topLinePunct w:val="0"/>
        <w:autoSpaceDE/>
        <w:autoSpaceDN/>
        <w:bidi w:val="0"/>
        <w:spacing w:after="0" w:afterAutospacing="0" w:line="560" w:lineRule="exact"/>
        <w:ind w:left="0" w:leftChars="0" w:right="0" w:firstLine="886" w:firstLineChars="200"/>
        <w:jc w:val="center"/>
        <w:textAlignment w:val="auto"/>
        <w:outlineLvl w:val="0"/>
        <w:rPr>
          <w:rFonts w:hint="eastAsia" w:ascii="楷体" w:hAnsi="楷体" w:eastAsia="楷体" w:cs="楷体"/>
          <w:b w:val="0"/>
          <w:bCs w:val="0"/>
          <w:snapToGrid w:val="0"/>
          <w:color w:val="000000"/>
          <w:spacing w:val="9"/>
          <w:kern w:val="0"/>
          <w:sz w:val="32"/>
          <w:szCs w:val="32"/>
          <w:lang w:val="en-US" w:eastAsia="zh-CN" w:bidi="ar-SA"/>
        </w:rPr>
      </w:pPr>
      <w:bookmarkStart w:id="161" w:name="_Toc2136"/>
      <w:r>
        <w:rPr>
          <w:rFonts w:hint="eastAsia" w:ascii="方正楷体简体" w:hAnsi="方正楷体简体" w:eastAsia="方正楷体简体" w:cs="方正楷体简体"/>
          <w:b/>
          <w:bCs/>
          <w:snapToGrid w:val="0"/>
          <w:color w:val="000000"/>
          <w:spacing w:val="9"/>
          <w:kern w:val="0"/>
          <w:sz w:val="32"/>
          <w:szCs w:val="32"/>
          <w:lang w:val="en-US" w:eastAsia="zh-CN" w:bidi="ar-SA"/>
        </w:rPr>
        <w:t>第二节  完善体制机制，健全制度体系</w:t>
      </w:r>
      <w:bookmarkEnd w:id="161"/>
    </w:p>
    <w:p w14:paraId="4E05650D">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both"/>
        <w:textAlignment w:val="auto"/>
        <w:rPr>
          <w:rFonts w:hint="eastAsia" w:ascii="仿宋_GB2312" w:hAnsi="仿宋_GB2312" w:eastAsia="仿宋_GB2312" w:cs="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加快推进与“十五五”应急管理方案相衔接的配套方案编制工作，构建形成“方案+配套制度”的完整制度体系。健全应急管理联动协同机制。完善跨乡镇、跨部门、跨行业的会商研判、信息互通、联合执法、联合演练等工作机制，建立常态化风险隐患联合排查治理机制，推进应急、气象、水利、自然资源、住建、交通、卫生健康等部门间信息共享和业务协同。</w:t>
      </w:r>
    </w:p>
    <w:p w14:paraId="51DA0C22">
      <w:pPr>
        <w:keepNext w:val="0"/>
        <w:keepLines w:val="0"/>
        <w:pageBreakBefore w:val="0"/>
        <w:widowControl w:val="0"/>
        <w:numPr>
          <w:ilvl w:val="0"/>
          <w:numId w:val="0"/>
        </w:numPr>
        <w:kinsoku/>
        <w:wordWrap/>
        <w:overflowPunct/>
        <w:topLinePunct w:val="0"/>
        <w:autoSpaceDE/>
        <w:autoSpaceDN/>
        <w:bidi w:val="0"/>
        <w:spacing w:after="0" w:afterAutospacing="0" w:line="560" w:lineRule="exact"/>
        <w:ind w:left="0" w:leftChars="0" w:right="0" w:firstLine="886" w:firstLineChars="200"/>
        <w:jc w:val="center"/>
        <w:textAlignment w:val="auto"/>
        <w:outlineLvl w:val="0"/>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62" w:name="_Toc12427"/>
      <w:r>
        <w:rPr>
          <w:rFonts w:hint="eastAsia" w:ascii="方正楷体简体" w:hAnsi="方正楷体简体" w:eastAsia="方正楷体简体" w:cs="方正楷体简体"/>
          <w:b/>
          <w:bCs/>
          <w:snapToGrid w:val="0"/>
          <w:color w:val="000000"/>
          <w:spacing w:val="9"/>
          <w:kern w:val="0"/>
          <w:sz w:val="32"/>
          <w:szCs w:val="32"/>
          <w:lang w:val="en-US" w:eastAsia="zh-CN" w:bidi="ar-SA"/>
        </w:rPr>
        <w:t>第三节  加大资金投入，强化要素保障</w:t>
      </w:r>
      <w:bookmarkEnd w:id="162"/>
    </w:p>
    <w:p w14:paraId="4EEBDAB9">
      <w:pPr>
        <w:keepNext w:val="0"/>
        <w:keepLines w:val="0"/>
        <w:pageBreakBefore w:val="0"/>
        <w:widowControl/>
        <w:kinsoku/>
        <w:wordWrap/>
        <w:overflowPunct/>
        <w:topLinePunct w:val="0"/>
        <w:autoSpaceDE/>
        <w:autoSpaceDN/>
        <w:bidi w:val="0"/>
        <w:adjustRightInd w:val="0"/>
        <w:snapToGrid w:val="0"/>
        <w:spacing w:afterAutospacing="0" w:line="560" w:lineRule="exact"/>
        <w:ind w:left="0" w:leftChars="0" w:right="0" w:firstLine="0" w:firstLineChars="0"/>
        <w:jc w:val="left"/>
        <w:textAlignment w:val="auto"/>
        <w:rPr>
          <w:rFonts w:hint="eastAsia" w:ascii="方正仿宋_GB2312" w:hAnsi="方正仿宋_GB2312" w:eastAsia="方正仿宋_GB2312" w:cs="方正仿宋_GB2312"/>
          <w:b w:val="0"/>
          <w:bCs w:val="0"/>
          <w:snapToGrid w:val="0"/>
          <w:color w:val="000000"/>
          <w:spacing w:val="13"/>
          <w:kern w:val="0"/>
          <w:sz w:val="32"/>
          <w:szCs w:val="32"/>
          <w:lang w:val="en-US" w:eastAsia="zh-CN" w:bidi="ar-SA"/>
        </w:rPr>
      </w:pPr>
      <w:r>
        <w:rPr>
          <w:rFonts w:hint="eastAsia" w:ascii="仿宋_GB2312" w:hAnsi="仿宋_GB2312" w:eastAsia="仿宋_GB2312" w:cs="仿宋_GB2312"/>
          <w:b w:val="0"/>
          <w:bCs w:val="0"/>
          <w:snapToGrid w:val="0"/>
          <w:color w:val="000000"/>
          <w:spacing w:val="13"/>
          <w:kern w:val="0"/>
          <w:sz w:val="32"/>
          <w:szCs w:val="32"/>
          <w:lang w:val="en-US" w:eastAsia="zh-CN" w:bidi="ar-SA"/>
        </w:rPr>
        <w:t>　　将“十五五”应急管理方案中确定的重大工程和重点项目，积极协调县级财政纳入财政预算及中长期财政规划，保障应急管理投入与经济社会发展水平相适应。统筹用好上级部门的转移支付、专项资金及相关扶持政策。</w:t>
      </w:r>
    </w:p>
    <w:p w14:paraId="5145A7D1">
      <w:pPr>
        <w:keepNext w:val="0"/>
        <w:keepLines w:val="0"/>
        <w:pageBreakBefore w:val="0"/>
        <w:widowControl w:val="0"/>
        <w:numPr>
          <w:ilvl w:val="0"/>
          <w:numId w:val="0"/>
        </w:numPr>
        <w:kinsoku/>
        <w:wordWrap/>
        <w:overflowPunct/>
        <w:topLinePunct w:val="0"/>
        <w:autoSpaceDE/>
        <w:autoSpaceDN/>
        <w:bidi w:val="0"/>
        <w:spacing w:after="0" w:afterAutospacing="0" w:line="560" w:lineRule="exact"/>
        <w:ind w:left="0" w:leftChars="0" w:right="0" w:firstLine="886" w:firstLineChars="200"/>
        <w:jc w:val="center"/>
        <w:textAlignment w:val="auto"/>
        <w:outlineLvl w:val="0"/>
        <w:rPr>
          <w:rFonts w:hint="eastAsia" w:ascii="方正楷体简体" w:hAnsi="方正楷体简体" w:eastAsia="方正楷体简体" w:cs="方正楷体简体"/>
          <w:b/>
          <w:bCs/>
          <w:snapToGrid w:val="0"/>
          <w:color w:val="000000"/>
          <w:spacing w:val="9"/>
          <w:kern w:val="0"/>
          <w:sz w:val="32"/>
          <w:szCs w:val="32"/>
          <w:lang w:val="en-US" w:eastAsia="zh-CN" w:bidi="ar-SA"/>
        </w:rPr>
      </w:pPr>
      <w:bookmarkStart w:id="163" w:name="_Toc22112"/>
      <w:r>
        <w:rPr>
          <w:rFonts w:hint="eastAsia" w:ascii="方正楷体简体" w:hAnsi="方正楷体简体" w:eastAsia="方正楷体简体" w:cs="方正楷体简体"/>
          <w:b/>
          <w:bCs/>
          <w:snapToGrid w:val="0"/>
          <w:color w:val="000000"/>
          <w:spacing w:val="9"/>
          <w:kern w:val="0"/>
          <w:sz w:val="32"/>
          <w:szCs w:val="32"/>
          <w:lang w:val="en-US" w:eastAsia="zh-CN" w:bidi="ar-SA"/>
        </w:rPr>
        <w:t>第四节  夯实基础支撑，强化科技信息保障</w:t>
      </w:r>
      <w:bookmarkEnd w:id="163"/>
    </w:p>
    <w:p w14:paraId="47237CCE">
      <w:pPr>
        <w:tabs>
          <w:tab w:val="left" w:pos="821"/>
        </w:tabs>
        <w:bidi w:val="0"/>
        <w:adjustRightInd/>
        <w:snapToGrid/>
        <w:spacing w:line="240" w:lineRule="auto"/>
        <w:ind w:firstLine="0" w:firstLineChars="0"/>
        <w:jc w:val="left"/>
        <w:rPr>
          <w:rFonts w:hint="eastAsia" w:ascii="宋体" w:hAnsi="宋体" w:cs="宋体"/>
          <w:spacing w:val="0"/>
          <w:kern w:val="0"/>
          <w:szCs w:val="28"/>
          <w:lang w:val="en-US" w:eastAsia="zh-CN" w:bidi="zh-CN"/>
        </w:rPr>
      </w:pPr>
      <w:r>
        <w:rPr>
          <w:rFonts w:hint="eastAsia" w:ascii="仿宋_GB2312" w:hAnsi="仿宋_GB2312" w:eastAsia="仿宋_GB2312" w:cs="仿宋_GB2312"/>
          <w:b w:val="0"/>
          <w:bCs w:val="0"/>
          <w:snapToGrid w:val="0"/>
          <w:color w:val="000000"/>
          <w:spacing w:val="13"/>
          <w:kern w:val="0"/>
          <w:sz w:val="32"/>
          <w:szCs w:val="32"/>
          <w:lang w:val="en-US" w:eastAsia="zh-CN" w:bidi="ar-SA"/>
        </w:rPr>
        <w:t>　　鼓励与高校科研院所、技术服务机构开展合作，深入推进灾害风险评估、安全生产风险分级管控和隐患排查治理的技术研究与应用。推广卫星遥感、无人机、大数据、人工智能等新技术在风险监测、灾情评估、应急决策领域的应用。</w:t>
      </w:r>
    </w:p>
    <w:p w14:paraId="02460437">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仿宋_GB2312" w:hAnsi="仿宋_GB2312" w:eastAsia="仿宋_GB2312" w:cs="仿宋_GB2312"/>
          <w:b w:val="0"/>
          <w:bCs w:val="0"/>
          <w:snapToGrid w:val="0"/>
          <w:color w:val="auto"/>
          <w:spacing w:val="13"/>
          <w:kern w:val="0"/>
          <w:sz w:val="32"/>
          <w:szCs w:val="32"/>
          <w:lang w:val="en-US" w:eastAsia="zh-CN"/>
        </w:rPr>
      </w:pPr>
    </w:p>
    <w:p w14:paraId="03111A34">
      <w:pPr>
        <w:keepNext w:val="0"/>
        <w:keepLines w:val="0"/>
        <w:pageBreakBefore w:val="0"/>
        <w:widowControl/>
        <w:kinsoku w:val="0"/>
        <w:wordWrap/>
        <w:overflowPunct/>
        <w:topLinePunct w:val="0"/>
        <w:autoSpaceDE w:val="0"/>
        <w:autoSpaceDN w:val="0"/>
        <w:bidi w:val="0"/>
        <w:adjustRightInd w:val="0"/>
        <w:snapToGrid w:val="0"/>
        <w:spacing w:after="0" w:afterLines="0" w:afterAutospacing="0" w:line="560" w:lineRule="exact"/>
        <w:ind w:right="0" w:firstLine="665" w:firstLineChars="0"/>
        <w:jc w:val="both"/>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p w14:paraId="5B15CDCF">
      <w:pPr>
        <w:keepNext w:val="0"/>
        <w:keepLines w:val="0"/>
        <w:pageBreakBefore w:val="0"/>
        <w:widowControl/>
        <w:kinsoku w:val="0"/>
        <w:wordWrap/>
        <w:overflowPunct/>
        <w:topLinePunct w:val="0"/>
        <w:autoSpaceDE w:val="0"/>
        <w:autoSpaceDN w:val="0"/>
        <w:bidi w:val="0"/>
        <w:adjustRightInd w:val="0"/>
        <w:snapToGrid w:val="0"/>
        <w:spacing w:afterAutospacing="0" w:line="560" w:lineRule="exact"/>
        <w:ind w:left="0" w:leftChars="0" w:right="0" w:firstLine="0" w:firstLineChars="0"/>
        <w:jc w:val="left"/>
        <w:textAlignment w:val="baseline"/>
        <w:rPr>
          <w:rFonts w:hint="eastAsia" w:ascii="方正仿宋_GB2312" w:hAnsi="方正仿宋_GB2312" w:eastAsia="方正仿宋_GB2312" w:cs="方正仿宋_GB2312"/>
          <w:snapToGrid w:val="0"/>
          <w:color w:val="auto"/>
          <w:spacing w:val="13"/>
          <w:kern w:val="0"/>
          <w:sz w:val="32"/>
          <w:szCs w:val="32"/>
          <w:lang w:val="en-US" w:eastAsia="zh-CN"/>
        </w:rPr>
      </w:pPr>
    </w:p>
    <w:sectPr>
      <w:footerReference r:id="rId25" w:type="default"/>
      <w:pgSz w:w="11906" w:h="16838"/>
      <w:pgMar w:top="2098" w:right="1474" w:bottom="1984" w:left="1587" w:header="851" w:footer="992" w:gutter="0"/>
      <w:pgNumType w:fmt="decimal" w:start="1"/>
      <w:cols w:space="425" w:num="1"/>
      <w:rtlGutter w:val="0"/>
      <w:docGrid w:type="linesAndChars" w:linePitch="579" w:charSpace="216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16"/>
      </w:pPr>
      <w:r>
        <w:separator/>
      </w:r>
    </w:p>
  </w:endnote>
  <w:endnote w:type="continuationSeparator" w:id="1">
    <w:p>
      <w:pPr>
        <w:spacing w:line="240" w:lineRule="auto"/>
        <w:ind w:firstLine="61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4AD9628-BF00-47CB-8076-6668137388D8}"/>
  </w:font>
  <w:font w:name="黑体">
    <w:panose1 w:val="02010609060101010101"/>
    <w:charset w:val="86"/>
    <w:family w:val="auto"/>
    <w:pitch w:val="default"/>
    <w:sig w:usb0="800002BF" w:usb1="38CF7CFA" w:usb2="00000016" w:usb3="00000000" w:csb0="00040001" w:csb1="00000000"/>
    <w:embedRegular r:id="rId2" w:fontKey="{97554CEE-1EB4-48B3-9D7D-3FB1AFFAD8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CF0D4F03-0A17-44CB-9AE0-F6B1F017B796}"/>
  </w:font>
  <w:font w:name="楷体">
    <w:panose1 w:val="02010609060101010101"/>
    <w:charset w:val="86"/>
    <w:family w:val="auto"/>
    <w:pitch w:val="default"/>
    <w:sig w:usb0="800002BF" w:usb1="38CF7CFA" w:usb2="00000016" w:usb3="00000000" w:csb0="00040001" w:csb1="00000000"/>
    <w:embedRegular r:id="rId4" w:fontKey="{1B7E490F-A5EC-4FC8-9A0C-1F2B9C05283B}"/>
  </w:font>
  <w:font w:name="方正小标宋简体">
    <w:panose1 w:val="02000000000000000000"/>
    <w:charset w:val="86"/>
    <w:family w:val="auto"/>
    <w:pitch w:val="default"/>
    <w:sig w:usb0="00000001" w:usb1="08000000" w:usb2="00000000" w:usb3="00000000" w:csb0="00040000" w:csb1="00000000"/>
    <w:embedRegular r:id="rId5" w:fontKey="{20A32FA2-9A79-4831-818D-95A9123332AA}"/>
  </w:font>
  <w:font w:name="微软雅黑">
    <w:panose1 w:val="020B0503020204020204"/>
    <w:charset w:val="86"/>
    <w:family w:val="auto"/>
    <w:pitch w:val="default"/>
    <w:sig w:usb0="80000287" w:usb1="2ACF3C50" w:usb2="00000016" w:usb3="00000000" w:csb0="0004001F" w:csb1="00000000"/>
    <w:embedRegular r:id="rId6" w:fontKey="{F46AD617-B23F-48EC-827B-78DCCB394DD8}"/>
  </w:font>
  <w:font w:name="仿宋_GB2312">
    <w:panose1 w:val="02010609030101010101"/>
    <w:charset w:val="86"/>
    <w:family w:val="auto"/>
    <w:pitch w:val="default"/>
    <w:sig w:usb0="00000001" w:usb1="080E0000" w:usb2="00000000" w:usb3="00000000" w:csb0="00040000" w:csb1="00000000"/>
    <w:embedRegular r:id="rId7" w:fontKey="{6C16560A-72AF-45A3-94F3-51178CB9B47B}"/>
  </w:font>
  <w:font w:name="方正仿宋_GB2312">
    <w:panose1 w:val="02000000000000000000"/>
    <w:charset w:val="86"/>
    <w:family w:val="auto"/>
    <w:pitch w:val="default"/>
    <w:sig w:usb0="A00002BF" w:usb1="184F6CFA" w:usb2="00000012" w:usb3="00000000" w:csb0="00040001" w:csb1="00000000"/>
    <w:embedRegular r:id="rId8" w:fontKey="{BA5D3DA8-1DCE-4AA7-98A4-4233DA4F078A}"/>
  </w:font>
  <w:font w:name="方正楷体简体">
    <w:panose1 w:val="02000000000000000000"/>
    <w:charset w:val="86"/>
    <w:family w:val="auto"/>
    <w:pitch w:val="default"/>
    <w:sig w:usb0="A00002BF" w:usb1="184F6CFA" w:usb2="00000012" w:usb3="00000000" w:csb0="00040001" w:csb1="00000000"/>
    <w:embedRegular r:id="rId9" w:fontKey="{51D75F4E-3F4B-4937-91D3-16C30D28AB9C}"/>
  </w:font>
  <w:font w:name="方正仿宋_GBK">
    <w:panose1 w:val="02000000000000000000"/>
    <w:charset w:val="86"/>
    <w:family w:val="auto"/>
    <w:pitch w:val="default"/>
    <w:sig w:usb0="A00002BF" w:usb1="38CF7CFA" w:usb2="00082016" w:usb3="00000000" w:csb0="00040001" w:csb1="00000000"/>
    <w:embedRegular r:id="rId10" w:fontKey="{248719B5-AA95-420B-8FFA-0BFC27E6ED0E}"/>
  </w:font>
  <w:font w:name="方正楷体_GB2312">
    <w:panose1 w:val="02000000000000000000"/>
    <w:charset w:val="86"/>
    <w:family w:val="auto"/>
    <w:pitch w:val="default"/>
    <w:sig w:usb0="A00002BF" w:usb1="184F6CFA" w:usb2="00000012" w:usb3="00000000" w:csb0="00040001" w:csb1="00000000"/>
    <w:embedRegular r:id="rId11" w:fontKey="{F119FE61-70D0-489E-9F1B-0707F606F56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0EBD2">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22B75">
    <w:pPr>
      <w:pStyle w:val="23"/>
      <w:tabs>
        <w:tab w:val="left" w:pos="4690"/>
        <w:tab w:val="clear" w:pos="4153"/>
      </w:tabs>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032D0">
    <w:pPr>
      <w:pStyle w:val="23"/>
      <w:tabs>
        <w:tab w:val="left" w:pos="4690"/>
        <w:tab w:val="clear" w:pos="4153"/>
      </w:tabs>
    </w:pP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DA0A9">
    <w:pPr>
      <w:pStyle w:val="23"/>
      <w:tabs>
        <w:tab w:val="left" w:pos="4690"/>
        <w:tab w:val="clear" w:pos="4153"/>
      </w:tabs>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99F3009">
                          <w:pPr>
                            <w:pStyle w:val="2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s0lY7tAAAAAFAQAADwAA&#10;AAAAAAABACAAAAAiAAAAZHJzL2Rvd25yZXYueG1sUEsBAhQAFAAAAAgAh07iQO8jtNDlAQAAxwMA&#10;AA4AAAAAAAAAAQAgAAAAHwEAAGRycy9lMm9Eb2MueG1sUEsFBgAAAAAGAAYAWQEAAHYFAAAAAA==&#10;">
              <v:fill on="f" focussize="0,0"/>
              <v:stroke on="f" weight="0.5pt"/>
              <v:imagedata o:title=""/>
              <o:lock v:ext="edit" aspectratio="f"/>
              <v:textbox inset="0mm,0mm,0mm,0mm" style="mso-fit-shape-to-text:t;">
                <w:txbxContent>
                  <w:p w14:paraId="799F3009">
                    <w:pPr>
                      <w:pStyle w:val="2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1EB31">
    <w:pPr>
      <w:pStyle w:val="23"/>
      <w:tabs>
        <w:tab w:val="left" w:pos="4690"/>
        <w:tab w:val="clear" w:pos="4153"/>
      </w:tabs>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D80346">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AD80346">
                    <w:pPr>
                      <w:pStyle w:val="23"/>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C627A84">
                          <w:pPr>
                            <w:pStyle w:val="23"/>
                            <w:rPr>
                              <w:rFonts w:hint="default" w:eastAsia="仿宋"/>
                              <w:lang w:val="en-US" w:eastAsia="zh-CN"/>
                            </w:rPr>
                          </w:pP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AxNZKx5gEAAMcD&#10;AAAOAAAAAAAAAAEAIAAAAB8BAABkcnMvZTJvRG9jLnhtbFBLBQYAAAAABgAGAFkBAAB3BQAAAAA=&#10;">
              <v:fill on="f" focussize="0,0"/>
              <v:stroke on="f" weight="0.5pt"/>
              <v:imagedata o:title=""/>
              <o:lock v:ext="edit" aspectratio="f"/>
              <v:textbox inset="0mm,0mm,0mm,0mm" style="mso-fit-shape-to-text:t;">
                <w:txbxContent>
                  <w:p w14:paraId="0C627A84">
                    <w:pPr>
                      <w:pStyle w:val="23"/>
                      <w:rPr>
                        <w:rFonts w:hint="default" w:eastAsia="仿宋"/>
                        <w:lang w:val="en-US" w:eastAsia="zh-CN"/>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86B47">
    <w:pPr>
      <w:pStyle w:val="23"/>
      <w:tabs>
        <w:tab w:val="left" w:pos="4690"/>
        <w:tab w:val="clear" w:pos="4153"/>
      </w:tabs>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4128B2EE">
                          <w:pPr>
                            <w:pStyle w:val="23"/>
                            <w:rPr>
                              <w:rFonts w:hint="default" w:eastAsia="仿宋"/>
                              <w:lang w:val="en-US" w:eastAsia="zh-CN"/>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zSVju0AAAAAUBAAAP&#10;AAAAAAAAAAEAIAAAACIAAABkcnMvZG93bnJldi54bWxQSwECFAAUAAAACACHTuJAjRjec+cBAADH&#10;AwAADgAAAAAAAAABACAAAAAfAQAAZHJzL2Uyb0RvYy54bWxQSwUGAAAAAAYABgBZAQAAeAUAAAAA&#10;">
              <v:fill on="f" focussize="0,0"/>
              <v:stroke on="f" weight="0.5pt"/>
              <v:imagedata o:title=""/>
              <o:lock v:ext="edit" aspectratio="f"/>
              <v:textbox inset="0mm,0mm,0mm,0mm" style="mso-fit-shape-to-text:t;">
                <w:txbxContent>
                  <w:p w14:paraId="4128B2EE">
                    <w:pPr>
                      <w:pStyle w:val="23"/>
                      <w:rPr>
                        <w:rFonts w:hint="default" w:eastAsia="仿宋"/>
                        <w:lang w:val="en-US" w:eastAsia="zh-CN"/>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F1EB5">
    <w:pPr>
      <w:pStyle w:val="23"/>
      <w:tabs>
        <w:tab w:val="center" w:pos="4422"/>
        <w:tab w:val="clear" w:pos="4153"/>
        <w:tab w:val="clear" w:pos="8306"/>
      </w:tabs>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B5ADC90">
                          <w:pPr>
                            <w:pStyle w:val="23"/>
                            <w:rPr>
                              <w:rFonts w:hint="default" w:eastAsia="仿宋"/>
                              <w:lang w:val="en-US" w:eastAsia="zh-CN"/>
                            </w:rPr>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B3DCPT5gEAAMcD&#10;AAAOAAAAAAAAAAEAIAAAAB8BAABkcnMvZTJvRG9jLnhtbFBLBQYAAAAABgAGAFkBAAB3BQAAAAA=&#10;">
              <v:fill on="f" focussize="0,0"/>
              <v:stroke on="f" weight="0.5pt"/>
              <v:imagedata o:title=""/>
              <o:lock v:ext="edit" aspectratio="f"/>
              <v:textbox inset="0mm,0mm,0mm,0mm" style="mso-fit-shape-to-text:t;">
                <w:txbxContent>
                  <w:p w14:paraId="2B5ADC90">
                    <w:pPr>
                      <w:pStyle w:val="23"/>
                      <w:rPr>
                        <w:rFonts w:hint="default" w:eastAsia="仿宋"/>
                        <w:lang w:val="en-US" w:eastAsia="zh-CN"/>
                      </w:rPr>
                    </w:pPr>
                  </w:p>
                </w:txbxContent>
              </v:textbox>
            </v:shape>
          </w:pict>
        </mc:Fallback>
      </mc:AlternateContent>
    </w:r>
    <w:r>
      <w:rPr>
        <w:rFonts w:hint="eastAsia"/>
        <w:lang w:eastAsia="zh-CN"/>
      </w:rPr>
      <w:tab/>
    </w:r>
    <w:r>
      <w:rPr>
        <w:rFonts w:hint="eastAsia"/>
        <w:lang w:eastAsia="zh-CN"/>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2A951">
    <w:pPr>
      <w:widowControl w:val="0"/>
      <w:tabs>
        <w:tab w:val="center" w:pos="4422"/>
        <w:tab w:val="right" w:pos="8306"/>
      </w:tabs>
      <w:spacing w:after="20" w:afterLines="20" w:line="288" w:lineRule="auto"/>
      <w:ind w:firstLine="0" w:firstLineChars="0"/>
      <w:jc w:val="left"/>
      <w:rPr>
        <w:rFonts w:ascii="黑体" w:hAnsi="黑体" w:eastAsia="黑体" w:cs="Times New Roman"/>
        <w:kern w:val="2"/>
        <w:sz w:val="18"/>
        <w:szCs w:val="18"/>
        <w:lang w:val="en-US" w:eastAsia="zh-CN" w:bidi="ar-SA"/>
      </w:rPr>
    </w:pPr>
    <w:r>
      <w:rPr>
        <w:rFonts w:hint="eastAsia" w:ascii="黑体" w:hAnsi="黑体" w:eastAsia="黑体" w:cs="Times New Roman"/>
        <w:kern w:val="2"/>
        <w:sz w:val="18"/>
        <w:szCs w:val="18"/>
        <w:lang w:val="en-US" w:eastAsia="zh-CN" w:bidi="ar-SA"/>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9402A">
    <w:pPr>
      <w:widowControl w:val="0"/>
      <w:tabs>
        <w:tab w:val="left" w:pos="5063"/>
        <w:tab w:val="right" w:pos="8306"/>
      </w:tabs>
      <w:spacing w:after="20" w:afterLines="20" w:line="288" w:lineRule="auto"/>
      <w:ind w:firstLine="0" w:firstLineChars="0"/>
      <w:jc w:val="left"/>
      <w:rPr>
        <w:rFonts w:ascii="黑体" w:hAnsi="黑体" w:eastAsia="黑体" w:cs="Times New Roman"/>
        <w:kern w:val="2"/>
        <w:sz w:val="18"/>
        <w:szCs w:val="18"/>
        <w:lang w:val="en-US" w:eastAsia="zh-CN" w:bidi="ar-SA"/>
      </w:rPr>
    </w:pPr>
    <w:r>
      <w:rPr>
        <w:rFonts w:hint="eastAsia" w:ascii="黑体" w:hAnsi="黑体" w:eastAsia="黑体" w:cs="Times New Roman"/>
        <w:kern w:val="2"/>
        <w:sz w:val="18"/>
        <w:szCs w:val="18"/>
        <w:lang w:val="en-US" w:eastAsia="zh-CN" w:bidi="ar-SA"/>
      </w:rP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688E8">
    <w:pPr>
      <w:widowControl w:val="0"/>
      <w:tabs>
        <w:tab w:val="center" w:pos="4153"/>
        <w:tab w:val="right" w:pos="8306"/>
      </w:tabs>
      <w:spacing w:after="20" w:afterLines="20" w:line="288" w:lineRule="auto"/>
      <w:ind w:firstLine="0" w:firstLineChars="0"/>
      <w:jc w:val="left"/>
      <w:rPr>
        <w:rFonts w:ascii="黑体" w:hAnsi="黑体" w:eastAsia="黑体" w:cs="Times New Roman"/>
        <w:kern w:val="2"/>
        <w:sz w:val="18"/>
        <w:szCs w:val="18"/>
        <w:lang w:val="en-US" w:eastAsia="zh-CN" w:bidi="ar-SA"/>
      </w:rPr>
    </w:pPr>
    <w:r>
      <w:rPr>
        <w:rFonts w:ascii="黑体" w:hAnsi="黑体" w:eastAsia="黑体" w:cs="Times New Roman"/>
        <w:kern w:val="2"/>
        <w:sz w:val="18"/>
        <w:szCs w:val="18"/>
        <w:lang w:val="en-US" w:eastAsia="zh-CN" w:bidi="ar-S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3DD50E">
                          <w:pPr>
                            <w:widowControl w:val="0"/>
                            <w:tabs>
                              <w:tab w:val="center" w:pos="4153"/>
                              <w:tab w:val="right" w:pos="8306"/>
                            </w:tabs>
                            <w:spacing w:after="20" w:afterLines="20" w:line="288" w:lineRule="auto"/>
                            <w:ind w:firstLine="0" w:firstLineChars="0"/>
                            <w:jc w:val="left"/>
                            <w:rPr>
                              <w:rFonts w:ascii="黑体" w:hAnsi="黑体" w:eastAsia="黑体" w:cs="Times New Roman"/>
                              <w:kern w:val="2"/>
                              <w:sz w:val="18"/>
                              <w:szCs w:val="18"/>
                              <w:lang w:val="en-US" w:eastAsia="zh-CN" w:bidi="ar-SA"/>
                            </w:rPr>
                          </w:pPr>
                          <w:r>
                            <w:rPr>
                              <w:rFonts w:ascii="黑体" w:hAnsi="黑体" w:eastAsia="黑体" w:cs="Times New Roman"/>
                              <w:kern w:val="2"/>
                              <w:sz w:val="18"/>
                              <w:szCs w:val="18"/>
                              <w:lang w:val="en-US" w:eastAsia="zh-CN" w:bidi="ar-SA"/>
                            </w:rPr>
                            <w:fldChar w:fldCharType="begin"/>
                          </w:r>
                          <w:r>
                            <w:rPr>
                              <w:rFonts w:ascii="黑体" w:hAnsi="黑体" w:eastAsia="黑体" w:cs="Times New Roman"/>
                              <w:kern w:val="2"/>
                              <w:sz w:val="18"/>
                              <w:szCs w:val="18"/>
                              <w:lang w:val="en-US" w:eastAsia="zh-CN" w:bidi="ar-SA"/>
                            </w:rPr>
                            <w:instrText xml:space="preserve"> PAGE  \* MERGEFORMAT </w:instrText>
                          </w:r>
                          <w:r>
                            <w:rPr>
                              <w:rFonts w:ascii="黑体" w:hAnsi="黑体" w:eastAsia="黑体" w:cs="Times New Roman"/>
                              <w:kern w:val="2"/>
                              <w:sz w:val="18"/>
                              <w:szCs w:val="18"/>
                              <w:lang w:val="en-US" w:eastAsia="zh-CN" w:bidi="ar-SA"/>
                            </w:rPr>
                            <w:fldChar w:fldCharType="separate"/>
                          </w:r>
                          <w:r>
                            <w:rPr>
                              <w:rFonts w:ascii="黑体" w:hAnsi="黑体" w:eastAsia="黑体" w:cs="Times New Roman"/>
                              <w:kern w:val="2"/>
                              <w:sz w:val="18"/>
                              <w:szCs w:val="18"/>
                              <w:lang w:val="en-US" w:eastAsia="zh-CN" w:bidi="ar-SA"/>
                            </w:rPr>
                            <w:t>1</w:t>
                          </w:r>
                          <w:r>
                            <w:rPr>
                              <w:rFonts w:ascii="黑体" w:hAnsi="黑体" w:eastAsia="黑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14:paraId="203DD50E">
                    <w:pPr>
                      <w:widowControl w:val="0"/>
                      <w:tabs>
                        <w:tab w:val="center" w:pos="4153"/>
                        <w:tab w:val="right" w:pos="8306"/>
                      </w:tabs>
                      <w:spacing w:after="20" w:afterLines="20" w:line="288" w:lineRule="auto"/>
                      <w:ind w:firstLine="0" w:firstLineChars="0"/>
                      <w:jc w:val="left"/>
                      <w:rPr>
                        <w:rFonts w:ascii="黑体" w:hAnsi="黑体" w:eastAsia="黑体" w:cs="Times New Roman"/>
                        <w:kern w:val="2"/>
                        <w:sz w:val="18"/>
                        <w:szCs w:val="18"/>
                        <w:lang w:val="en-US" w:eastAsia="zh-CN" w:bidi="ar-SA"/>
                      </w:rPr>
                    </w:pPr>
                    <w:r>
                      <w:rPr>
                        <w:rFonts w:ascii="黑体" w:hAnsi="黑体" w:eastAsia="黑体" w:cs="Times New Roman"/>
                        <w:kern w:val="2"/>
                        <w:sz w:val="18"/>
                        <w:szCs w:val="18"/>
                        <w:lang w:val="en-US" w:eastAsia="zh-CN" w:bidi="ar-SA"/>
                      </w:rPr>
                      <w:fldChar w:fldCharType="begin"/>
                    </w:r>
                    <w:r>
                      <w:rPr>
                        <w:rFonts w:ascii="黑体" w:hAnsi="黑体" w:eastAsia="黑体" w:cs="Times New Roman"/>
                        <w:kern w:val="2"/>
                        <w:sz w:val="18"/>
                        <w:szCs w:val="18"/>
                        <w:lang w:val="en-US" w:eastAsia="zh-CN" w:bidi="ar-SA"/>
                      </w:rPr>
                      <w:instrText xml:space="preserve"> PAGE  \* MERGEFORMAT </w:instrText>
                    </w:r>
                    <w:r>
                      <w:rPr>
                        <w:rFonts w:ascii="黑体" w:hAnsi="黑体" w:eastAsia="黑体" w:cs="Times New Roman"/>
                        <w:kern w:val="2"/>
                        <w:sz w:val="18"/>
                        <w:szCs w:val="18"/>
                        <w:lang w:val="en-US" w:eastAsia="zh-CN" w:bidi="ar-SA"/>
                      </w:rPr>
                      <w:fldChar w:fldCharType="separate"/>
                    </w:r>
                    <w:r>
                      <w:rPr>
                        <w:rFonts w:ascii="黑体" w:hAnsi="黑体" w:eastAsia="黑体" w:cs="Times New Roman"/>
                        <w:kern w:val="2"/>
                        <w:sz w:val="18"/>
                        <w:szCs w:val="18"/>
                        <w:lang w:val="en-US" w:eastAsia="zh-CN" w:bidi="ar-SA"/>
                      </w:rPr>
                      <w:t>1</w:t>
                    </w:r>
                    <w:r>
                      <w:rPr>
                        <w:rFonts w:ascii="黑体" w:hAnsi="黑体" w:eastAsia="黑体" w:cs="Times New Roman"/>
                        <w:kern w:val="2"/>
                        <w:sz w:val="18"/>
                        <w:szCs w:val="18"/>
                        <w:lang w:val="en-US" w:eastAsia="zh-CN" w:bidi="ar-S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36E80">
    <w:pPr>
      <w:widowControl w:val="0"/>
      <w:tabs>
        <w:tab w:val="center" w:pos="4153"/>
        <w:tab w:val="right" w:pos="8306"/>
      </w:tabs>
      <w:spacing w:after="20" w:afterLines="20" w:line="288" w:lineRule="auto"/>
      <w:ind w:firstLine="0" w:firstLineChars="0"/>
      <w:jc w:val="left"/>
      <w:rPr>
        <w:rFonts w:ascii="黑体" w:hAnsi="黑体" w:eastAsia="黑体" w:cs="Times New Roman"/>
        <w:kern w:val="2"/>
        <w:sz w:val="18"/>
        <w:szCs w:val="18"/>
        <w:lang w:val="en-US" w:eastAsia="zh-CN" w:bidi="ar-SA"/>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F19E5">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65F19E5">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A605C">
    <w:pPr>
      <w:widowControl/>
      <w:kinsoku w:val="0"/>
      <w:autoSpaceDE w:val="0"/>
      <w:autoSpaceDN w:val="0"/>
      <w:spacing w:line="232" w:lineRule="auto"/>
      <w:ind w:firstLine="0" w:firstLineChars="0"/>
      <w:jc w:val="center"/>
      <w:textAlignment w:val="baseline"/>
      <w:rPr>
        <w:rFonts w:ascii="宋体" w:hAnsi="宋体" w:eastAsia="宋体" w:cs="宋体"/>
        <w:snapToGrid w:val="0"/>
        <w:color w:val="000000"/>
        <w:spacing w:val="0"/>
        <w:kern w:val="0"/>
        <w:sz w:val="28"/>
        <w:szCs w:val="28"/>
        <w:lang w:eastAsia="en-US"/>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35E41">
    <w:pPr>
      <w:widowControl/>
      <w:kinsoku w:val="0"/>
      <w:autoSpaceDE w:val="0"/>
      <w:autoSpaceDN w:val="0"/>
      <w:spacing w:line="232" w:lineRule="auto"/>
      <w:ind w:firstLine="0" w:firstLineChars="0"/>
      <w:jc w:val="center"/>
      <w:textAlignment w:val="baseline"/>
      <w:rPr>
        <w:rFonts w:ascii="宋体" w:hAnsi="宋体" w:eastAsia="宋体" w:cs="宋体"/>
        <w:snapToGrid w:val="0"/>
        <w:color w:val="000000"/>
        <w:spacing w:val="0"/>
        <w:kern w:val="0"/>
        <w:sz w:val="28"/>
        <w:szCs w:val="28"/>
        <w:lang w:eastAsia="en-US"/>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F249C">
    <w:pPr>
      <w:widowControl/>
      <w:kinsoku w:val="0"/>
      <w:autoSpaceDE w:val="0"/>
      <w:autoSpaceDN w:val="0"/>
      <w:spacing w:line="232" w:lineRule="auto"/>
      <w:ind w:firstLine="0" w:firstLineChars="0"/>
      <w:jc w:val="center"/>
      <w:textAlignment w:val="baseline"/>
      <w:rPr>
        <w:rFonts w:ascii="宋体" w:hAnsi="宋体" w:eastAsia="宋体" w:cs="宋体"/>
        <w:snapToGrid w:val="0"/>
        <w:color w:val="000000"/>
        <w:spacing w:val="0"/>
        <w:kern w:val="0"/>
        <w:sz w:val="28"/>
        <w:szCs w:val="28"/>
        <w:lang w:eastAsia="en-US"/>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2D411">
    <w:pPr>
      <w:widowControl/>
      <w:kinsoku w:val="0"/>
      <w:autoSpaceDE w:val="0"/>
      <w:autoSpaceDN w:val="0"/>
      <w:spacing w:line="232" w:lineRule="auto"/>
      <w:ind w:firstLine="0" w:firstLineChars="0"/>
      <w:jc w:val="center"/>
      <w:textAlignment w:val="baseline"/>
      <w:rPr>
        <w:rFonts w:ascii="宋体" w:hAnsi="宋体" w:eastAsia="宋体" w:cs="宋体"/>
        <w:snapToGrid w:val="0"/>
        <w:color w:val="000000"/>
        <w:spacing w:val="0"/>
        <w:kern w:val="0"/>
        <w:sz w:val="28"/>
        <w:szCs w:val="28"/>
        <w:lang w:eastAsia="en-US"/>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3107A">
    <w:pPr>
      <w:widowControl/>
      <w:kinsoku w:val="0"/>
      <w:autoSpaceDE w:val="0"/>
      <w:autoSpaceDN w:val="0"/>
      <w:spacing w:line="232" w:lineRule="auto"/>
      <w:ind w:firstLine="0" w:firstLineChars="0"/>
      <w:jc w:val="center"/>
      <w:textAlignment w:val="baseline"/>
      <w:rPr>
        <w:rFonts w:ascii="宋体" w:hAnsi="宋体" w:eastAsia="宋体" w:cs="宋体"/>
        <w:snapToGrid w:val="0"/>
        <w:color w:val="000000"/>
        <w:spacing w:val="0"/>
        <w:kern w:val="0"/>
        <w:sz w:val="28"/>
        <w:szCs w:val="28"/>
        <w:lang w:eastAsia="en-US"/>
      </w:rPr>
    </w:pPr>
    <w:r>
      <w:rPr>
        <w:sz w:val="2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7809D">
                          <w:pPr>
                            <w:pStyle w:val="2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AB7809D">
                    <w:pPr>
                      <w:pStyle w:val="2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666D4">
    <w:pPr>
      <w:widowControl/>
      <w:kinsoku w:val="0"/>
      <w:autoSpaceDE w:val="0"/>
      <w:autoSpaceDN w:val="0"/>
      <w:spacing w:line="232" w:lineRule="auto"/>
      <w:ind w:firstLine="0" w:firstLineChars="0"/>
      <w:jc w:val="center"/>
      <w:textAlignment w:val="baseline"/>
      <w:rPr>
        <w:rFonts w:ascii="宋体" w:hAnsi="宋体" w:eastAsia="宋体" w:cs="宋体"/>
        <w:snapToGrid w:val="0"/>
        <w:color w:val="000000"/>
        <w:spacing w:val="0"/>
        <w:kern w:val="0"/>
        <w:sz w:val="28"/>
        <w:szCs w:val="28"/>
        <w:lang w:eastAsia="en-US"/>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2425F">
    <w:pPr>
      <w:widowControl/>
      <w:kinsoku w:val="0"/>
      <w:autoSpaceDE w:val="0"/>
      <w:autoSpaceDN w:val="0"/>
      <w:spacing w:line="232" w:lineRule="auto"/>
      <w:ind w:firstLine="0" w:firstLineChars="0"/>
      <w:jc w:val="center"/>
      <w:textAlignment w:val="baseline"/>
      <w:rPr>
        <w:rFonts w:ascii="宋体" w:hAnsi="宋体" w:eastAsia="宋体" w:cs="宋体"/>
        <w:snapToGrid w:val="0"/>
        <w:color w:val="000000"/>
        <w:spacing w:val="0"/>
        <w:kern w:val="0"/>
        <w:sz w:val="28"/>
        <w:szCs w:val="28"/>
        <w:lang w:eastAsia="en-US"/>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B2E8F">
    <w:pPr>
      <w:widowControl w:val="0"/>
      <w:tabs>
        <w:tab w:val="center" w:pos="4422"/>
        <w:tab w:val="right" w:pos="8306"/>
      </w:tabs>
      <w:snapToGrid w:val="0"/>
      <w:jc w:val="left"/>
      <w:rPr>
        <w:rFonts w:ascii="宋体" w:hAnsi="宋体" w:eastAsia="仿宋" w:cs="宋体"/>
        <w:sz w:val="18"/>
        <w:szCs w:val="28"/>
        <w:lang w:val="zh-CN" w:eastAsia="zh-CN" w:bidi="zh-CN"/>
      </w:rPr>
    </w:pPr>
    <w:r>
      <w:rPr>
        <w:rFonts w:hint="eastAsia" w:ascii="宋体" w:hAnsi="宋体" w:cs="宋体"/>
        <w:sz w:val="18"/>
        <w:szCs w:val="28"/>
        <w:lang w:val="zh-CN" w:eastAsia="zh-CN" w:bidi="zh-CN"/>
      </w:rPr>
      <w:tab/>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C3D76">
    <w:pPr>
      <w:widowControl w:val="0"/>
      <w:tabs>
        <w:tab w:val="center" w:pos="4422"/>
      </w:tabs>
      <w:snapToGrid w:val="0"/>
      <w:jc w:val="left"/>
      <w:rPr>
        <w:rFonts w:ascii="宋体" w:hAnsi="宋体" w:eastAsia="仿宋" w:cs="宋体"/>
        <w:sz w:val="18"/>
        <w:szCs w:val="28"/>
        <w:lang w:val="zh-CN" w:eastAsia="zh-CN" w:bidi="zh-CN"/>
      </w:rPr>
    </w:pPr>
    <w:r>
      <w:rPr>
        <w:rFonts w:hint="eastAsia" w:ascii="宋体" w:hAnsi="宋体" w:cs="宋体"/>
        <w:sz w:val="18"/>
        <w:szCs w:val="28"/>
        <w:lang w:val="zh-CN" w:eastAsia="zh-CN" w:bidi="zh-CN"/>
      </w:rPr>
      <w:tab/>
    </w:r>
    <w:r>
      <w:rPr>
        <w:rFonts w:hint="eastAsia" w:ascii="宋体" w:hAnsi="宋体" w:cs="宋体"/>
        <w:sz w:val="18"/>
        <w:szCs w:val="28"/>
        <w:lang w:val="zh-CN" w:eastAsia="zh-CN" w:bidi="zh-CN"/>
      </w:rPr>
      <w:tab/>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55143">
    <w:pPr>
      <w:pStyle w:val="23"/>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89478">
                          <w:pPr>
                            <w:pStyle w:val="2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6189478">
                    <w:pPr>
                      <w:pStyle w:val="2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16"/>
      </w:pPr>
      <w:r>
        <w:separator/>
      </w:r>
    </w:p>
  </w:footnote>
  <w:footnote w:type="continuationSeparator" w:id="1">
    <w:p>
      <w:pPr>
        <w:spacing w:line="240" w:lineRule="auto"/>
        <w:ind w:firstLine="616"/>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B5331"/>
    <w:multiLevelType w:val="singleLevel"/>
    <w:tmpl w:val="8B6B5331"/>
    <w:lvl w:ilvl="0" w:tentative="0">
      <w:start w:val="2"/>
      <w:numFmt w:val="chineseCounting"/>
      <w:suff w:val="space"/>
      <w:lvlText w:val="第%1章"/>
      <w:lvlJc w:val="left"/>
      <w:rPr>
        <w:rFonts w:hint="eastAsia"/>
      </w:rPr>
    </w:lvl>
  </w:abstractNum>
  <w:abstractNum w:abstractNumId="1">
    <w:nsid w:val="8E022444"/>
    <w:multiLevelType w:val="singleLevel"/>
    <w:tmpl w:val="8E022444"/>
    <w:lvl w:ilvl="0" w:tentative="0">
      <w:start w:val="2"/>
      <w:numFmt w:val="chineseCounting"/>
      <w:suff w:val="space"/>
      <w:lvlText w:val="第%1章"/>
      <w:lvlJc w:val="left"/>
      <w:rPr>
        <w:rFonts w:hint="eastAsia" w:ascii="黑体" w:hAnsi="黑体" w:eastAsia="黑体" w:cs="黑体"/>
        <w:sz w:val="32"/>
        <w:szCs w:val="32"/>
      </w:rPr>
    </w:lvl>
  </w:abstractNum>
  <w:abstractNum w:abstractNumId="2">
    <w:nsid w:val="330D6655"/>
    <w:multiLevelType w:val="singleLevel"/>
    <w:tmpl w:val="330D6655"/>
    <w:lvl w:ilvl="0" w:tentative="0">
      <w:start w:val="2"/>
      <w:numFmt w:val="chineseCounting"/>
      <w:suff w:val="nothing"/>
      <w:lvlText w:val="%1、"/>
      <w:lvlJc w:val="left"/>
      <w:rPr>
        <w:rFonts w:hint="eastAsia"/>
      </w:rPr>
    </w:lvl>
  </w:abstractNum>
  <w:abstractNum w:abstractNumId="3">
    <w:nsid w:val="54FD899A"/>
    <w:multiLevelType w:val="multilevel"/>
    <w:tmpl w:val="54FD899A"/>
    <w:lvl w:ilvl="0" w:tentative="0">
      <w:start w:val="1"/>
      <w:numFmt w:val="chineseCounting"/>
      <w:pStyle w:val="2"/>
      <w:suff w:val="nothing"/>
      <w:lvlText w:val="%1、"/>
      <w:lvlJc w:val="left"/>
      <w:pPr>
        <w:tabs>
          <w:tab w:val="left" w:pos="0"/>
        </w:tabs>
        <w:ind w:left="0" w:firstLine="0"/>
      </w:pPr>
      <w:rPr>
        <w:rFonts w:hint="eastAsia" w:eastAsia="黑体"/>
        <w:sz w:val="32"/>
        <w:szCs w:val="32"/>
      </w:rPr>
    </w:lvl>
    <w:lvl w:ilvl="1" w:tentative="0">
      <w:start w:val="1"/>
      <w:numFmt w:val="chineseCounting"/>
      <w:pStyle w:val="4"/>
      <w:suff w:val="nothing"/>
      <w:lvlText w:val="（%2）"/>
      <w:lvlJc w:val="left"/>
      <w:pPr>
        <w:tabs>
          <w:tab w:val="left" w:pos="0"/>
        </w:tabs>
        <w:ind w:left="0" w:firstLine="0"/>
      </w:pPr>
      <w:rPr>
        <w:rFonts w:hint="eastAsia" w:eastAsia="楷体"/>
        <w:sz w:val="32"/>
        <w:szCs w:val="32"/>
      </w:rPr>
    </w:lvl>
    <w:lvl w:ilvl="2" w:tentative="0">
      <w:start w:val="1"/>
      <w:numFmt w:val="decimal"/>
      <w:pStyle w:val="5"/>
      <w:suff w:val="nothing"/>
      <w:lvlText w:val="%3．"/>
      <w:lvlJc w:val="left"/>
      <w:pPr>
        <w:tabs>
          <w:tab w:val="left" w:pos="0"/>
        </w:tabs>
        <w:ind w:left="0" w:firstLine="400"/>
      </w:pPr>
      <w:rPr>
        <w:rFonts w:hint="eastAsia"/>
        <w:sz w:val="32"/>
        <w:szCs w:val="32"/>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
      <w:lvlJc w:val="left"/>
      <w:pPr>
        <w:tabs>
          <w:tab w:val="left" w:pos="0"/>
        </w:tabs>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abstractNum w:abstractNumId="4">
    <w:nsid w:val="5B01D43E"/>
    <w:multiLevelType w:val="singleLevel"/>
    <w:tmpl w:val="5B01D43E"/>
    <w:lvl w:ilvl="0" w:tentative="0">
      <w:start w:val="1"/>
      <w:numFmt w:val="bullet"/>
      <w:pStyle w:val="15"/>
      <w:lvlText w:val=""/>
      <w:lvlJc w:val="left"/>
      <w:pPr>
        <w:tabs>
          <w:tab w:val="left" w:pos="1200"/>
        </w:tabs>
        <w:ind w:left="1200" w:hanging="360"/>
      </w:pPr>
      <w:rPr>
        <w:rFonts w:hint="default" w:ascii="Wingdings" w:hAnsi="Wingdings"/>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HorizontalSpacing w:val="30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01C4"/>
    <w:rsid w:val="00195412"/>
    <w:rsid w:val="003675E8"/>
    <w:rsid w:val="00500138"/>
    <w:rsid w:val="00A566D5"/>
    <w:rsid w:val="01820A3C"/>
    <w:rsid w:val="01B1769F"/>
    <w:rsid w:val="01B3241C"/>
    <w:rsid w:val="01D45666"/>
    <w:rsid w:val="01F233E3"/>
    <w:rsid w:val="02B5340A"/>
    <w:rsid w:val="02FC38B0"/>
    <w:rsid w:val="032338E1"/>
    <w:rsid w:val="0400264D"/>
    <w:rsid w:val="042F398A"/>
    <w:rsid w:val="044E669C"/>
    <w:rsid w:val="04613D51"/>
    <w:rsid w:val="04C63C0C"/>
    <w:rsid w:val="04EA72B6"/>
    <w:rsid w:val="050A3A03"/>
    <w:rsid w:val="050D48BA"/>
    <w:rsid w:val="051311B6"/>
    <w:rsid w:val="05500BDA"/>
    <w:rsid w:val="056E0F4D"/>
    <w:rsid w:val="05F57961"/>
    <w:rsid w:val="064C3FE1"/>
    <w:rsid w:val="06920A3A"/>
    <w:rsid w:val="06B85B1E"/>
    <w:rsid w:val="0708351A"/>
    <w:rsid w:val="070B2F06"/>
    <w:rsid w:val="07762B7A"/>
    <w:rsid w:val="07866B35"/>
    <w:rsid w:val="07A27EEC"/>
    <w:rsid w:val="07B04F69"/>
    <w:rsid w:val="07B54D24"/>
    <w:rsid w:val="082B759D"/>
    <w:rsid w:val="082D6FB0"/>
    <w:rsid w:val="08821AA6"/>
    <w:rsid w:val="08D131E7"/>
    <w:rsid w:val="08F6501C"/>
    <w:rsid w:val="091626BB"/>
    <w:rsid w:val="09322AD0"/>
    <w:rsid w:val="09540018"/>
    <w:rsid w:val="09646A02"/>
    <w:rsid w:val="09C160F0"/>
    <w:rsid w:val="0A2A37A7"/>
    <w:rsid w:val="0A2C1357"/>
    <w:rsid w:val="0A36774D"/>
    <w:rsid w:val="0ABA1F25"/>
    <w:rsid w:val="0B22173D"/>
    <w:rsid w:val="0B2B6D61"/>
    <w:rsid w:val="0B7F55E3"/>
    <w:rsid w:val="0B8769D7"/>
    <w:rsid w:val="0B964387"/>
    <w:rsid w:val="0BAE19D1"/>
    <w:rsid w:val="0BDD1C48"/>
    <w:rsid w:val="0C5C177D"/>
    <w:rsid w:val="0C6D56E9"/>
    <w:rsid w:val="0C8129D9"/>
    <w:rsid w:val="0C90792D"/>
    <w:rsid w:val="0CC11B9C"/>
    <w:rsid w:val="0CEC47C3"/>
    <w:rsid w:val="0D167D74"/>
    <w:rsid w:val="0D337F1E"/>
    <w:rsid w:val="0D350DE1"/>
    <w:rsid w:val="0D5C5417"/>
    <w:rsid w:val="0DDF2AFB"/>
    <w:rsid w:val="0DEA475A"/>
    <w:rsid w:val="0DF92677"/>
    <w:rsid w:val="0E1327A4"/>
    <w:rsid w:val="0E255791"/>
    <w:rsid w:val="0E700F3E"/>
    <w:rsid w:val="0F006F15"/>
    <w:rsid w:val="0F423341"/>
    <w:rsid w:val="0F5F3FC6"/>
    <w:rsid w:val="0F84395A"/>
    <w:rsid w:val="0F87344A"/>
    <w:rsid w:val="0F971715"/>
    <w:rsid w:val="0FCB3FCF"/>
    <w:rsid w:val="108763B4"/>
    <w:rsid w:val="10881228"/>
    <w:rsid w:val="10922838"/>
    <w:rsid w:val="10C75DB2"/>
    <w:rsid w:val="11250330"/>
    <w:rsid w:val="113151B7"/>
    <w:rsid w:val="118A0E3F"/>
    <w:rsid w:val="11B87477"/>
    <w:rsid w:val="12286C59"/>
    <w:rsid w:val="1237572B"/>
    <w:rsid w:val="12625266"/>
    <w:rsid w:val="12CA1CA1"/>
    <w:rsid w:val="13397585"/>
    <w:rsid w:val="133E5523"/>
    <w:rsid w:val="13A20852"/>
    <w:rsid w:val="13B94D98"/>
    <w:rsid w:val="143624DF"/>
    <w:rsid w:val="143A4F2F"/>
    <w:rsid w:val="146E4BD8"/>
    <w:rsid w:val="14B212D8"/>
    <w:rsid w:val="14B86FCD"/>
    <w:rsid w:val="14F94677"/>
    <w:rsid w:val="1534372C"/>
    <w:rsid w:val="15A22D8C"/>
    <w:rsid w:val="16300397"/>
    <w:rsid w:val="16415369"/>
    <w:rsid w:val="16465E0D"/>
    <w:rsid w:val="16E8743F"/>
    <w:rsid w:val="17180C70"/>
    <w:rsid w:val="172E346C"/>
    <w:rsid w:val="173C2D6C"/>
    <w:rsid w:val="176B6475"/>
    <w:rsid w:val="176D53D8"/>
    <w:rsid w:val="17B44FF8"/>
    <w:rsid w:val="17D336D0"/>
    <w:rsid w:val="17D80CE7"/>
    <w:rsid w:val="17EF1998"/>
    <w:rsid w:val="182D07B7"/>
    <w:rsid w:val="18585984"/>
    <w:rsid w:val="18636337"/>
    <w:rsid w:val="187E1E79"/>
    <w:rsid w:val="18C16B78"/>
    <w:rsid w:val="19446D34"/>
    <w:rsid w:val="195B50E2"/>
    <w:rsid w:val="199602BD"/>
    <w:rsid w:val="199B0329"/>
    <w:rsid w:val="1A076A3D"/>
    <w:rsid w:val="1A113A55"/>
    <w:rsid w:val="1A7C004F"/>
    <w:rsid w:val="1AB86BAD"/>
    <w:rsid w:val="1AD552E1"/>
    <w:rsid w:val="1AD72B04"/>
    <w:rsid w:val="1AE83AB3"/>
    <w:rsid w:val="1B046CBF"/>
    <w:rsid w:val="1BB3539D"/>
    <w:rsid w:val="1BE063BC"/>
    <w:rsid w:val="1C5172BA"/>
    <w:rsid w:val="1C6963B1"/>
    <w:rsid w:val="1C8E5E18"/>
    <w:rsid w:val="1CA37410"/>
    <w:rsid w:val="1CDA2465"/>
    <w:rsid w:val="1CE62B0D"/>
    <w:rsid w:val="1CF00880"/>
    <w:rsid w:val="1D6909C9"/>
    <w:rsid w:val="1D9F5DE8"/>
    <w:rsid w:val="1DAE3FDB"/>
    <w:rsid w:val="1E0335B9"/>
    <w:rsid w:val="1E214A6A"/>
    <w:rsid w:val="1E472952"/>
    <w:rsid w:val="1E6257AE"/>
    <w:rsid w:val="1E722115"/>
    <w:rsid w:val="1EB21A1E"/>
    <w:rsid w:val="1EB335BB"/>
    <w:rsid w:val="1EB9381D"/>
    <w:rsid w:val="1EBF050A"/>
    <w:rsid w:val="1ED646EB"/>
    <w:rsid w:val="1F053CF4"/>
    <w:rsid w:val="1F1865FD"/>
    <w:rsid w:val="1F236233"/>
    <w:rsid w:val="1F920592"/>
    <w:rsid w:val="1FB679B5"/>
    <w:rsid w:val="1FD824ED"/>
    <w:rsid w:val="205A5DA4"/>
    <w:rsid w:val="20941338"/>
    <w:rsid w:val="20C444FE"/>
    <w:rsid w:val="20D64231"/>
    <w:rsid w:val="216144B3"/>
    <w:rsid w:val="216830DB"/>
    <w:rsid w:val="217D1928"/>
    <w:rsid w:val="21871088"/>
    <w:rsid w:val="21E11C0A"/>
    <w:rsid w:val="221700ED"/>
    <w:rsid w:val="221723C5"/>
    <w:rsid w:val="225B2C40"/>
    <w:rsid w:val="22711B4B"/>
    <w:rsid w:val="227C0724"/>
    <w:rsid w:val="2281582F"/>
    <w:rsid w:val="22AE280D"/>
    <w:rsid w:val="22D05DBF"/>
    <w:rsid w:val="23A40B42"/>
    <w:rsid w:val="23B5627F"/>
    <w:rsid w:val="23DE3C63"/>
    <w:rsid w:val="23E13177"/>
    <w:rsid w:val="2412081B"/>
    <w:rsid w:val="2423778D"/>
    <w:rsid w:val="2428510D"/>
    <w:rsid w:val="24431793"/>
    <w:rsid w:val="24457704"/>
    <w:rsid w:val="24521E21"/>
    <w:rsid w:val="2492221D"/>
    <w:rsid w:val="24B50320"/>
    <w:rsid w:val="24C745BD"/>
    <w:rsid w:val="24FD3B3B"/>
    <w:rsid w:val="25561215"/>
    <w:rsid w:val="25B20A9C"/>
    <w:rsid w:val="25B577B4"/>
    <w:rsid w:val="25F927B9"/>
    <w:rsid w:val="262257B4"/>
    <w:rsid w:val="266C2028"/>
    <w:rsid w:val="268D0EEE"/>
    <w:rsid w:val="268F6FF9"/>
    <w:rsid w:val="269261EE"/>
    <w:rsid w:val="26CB1A16"/>
    <w:rsid w:val="27487B6B"/>
    <w:rsid w:val="27653501"/>
    <w:rsid w:val="27D11B30"/>
    <w:rsid w:val="27DF5779"/>
    <w:rsid w:val="28077DB2"/>
    <w:rsid w:val="283616EF"/>
    <w:rsid w:val="283D4410"/>
    <w:rsid w:val="283F39E6"/>
    <w:rsid w:val="28530F5A"/>
    <w:rsid w:val="285B737A"/>
    <w:rsid w:val="28920A3E"/>
    <w:rsid w:val="28A21BB6"/>
    <w:rsid w:val="28AA3FD9"/>
    <w:rsid w:val="28B560BE"/>
    <w:rsid w:val="28DC1E1B"/>
    <w:rsid w:val="28E079FB"/>
    <w:rsid w:val="29004A8C"/>
    <w:rsid w:val="2939710B"/>
    <w:rsid w:val="2941154D"/>
    <w:rsid w:val="294E3D1E"/>
    <w:rsid w:val="29541FE5"/>
    <w:rsid w:val="295D1AD8"/>
    <w:rsid w:val="297D05CE"/>
    <w:rsid w:val="29A97B01"/>
    <w:rsid w:val="29AB6C8E"/>
    <w:rsid w:val="29C4731D"/>
    <w:rsid w:val="29DD6DAA"/>
    <w:rsid w:val="2A23010E"/>
    <w:rsid w:val="2A32072A"/>
    <w:rsid w:val="2AB30AE2"/>
    <w:rsid w:val="2ACE1AD5"/>
    <w:rsid w:val="2AFD1D96"/>
    <w:rsid w:val="2B01314E"/>
    <w:rsid w:val="2B200E0C"/>
    <w:rsid w:val="2B205765"/>
    <w:rsid w:val="2B397690"/>
    <w:rsid w:val="2B3C1135"/>
    <w:rsid w:val="2B822FEC"/>
    <w:rsid w:val="2BA0455F"/>
    <w:rsid w:val="2BC74EA2"/>
    <w:rsid w:val="2BDF39ED"/>
    <w:rsid w:val="2C0C4052"/>
    <w:rsid w:val="2C414C55"/>
    <w:rsid w:val="2C42277B"/>
    <w:rsid w:val="2CA07839"/>
    <w:rsid w:val="2CAF6062"/>
    <w:rsid w:val="2CB74992"/>
    <w:rsid w:val="2CF13172"/>
    <w:rsid w:val="2D5A7676"/>
    <w:rsid w:val="2D885C23"/>
    <w:rsid w:val="2D8A7365"/>
    <w:rsid w:val="2D9D598D"/>
    <w:rsid w:val="2DA059AB"/>
    <w:rsid w:val="2DAA023D"/>
    <w:rsid w:val="2DDC7C14"/>
    <w:rsid w:val="2E096D32"/>
    <w:rsid w:val="2E7E7DC6"/>
    <w:rsid w:val="2E8C6A58"/>
    <w:rsid w:val="2ED47D4A"/>
    <w:rsid w:val="2EF673D2"/>
    <w:rsid w:val="2FF136F3"/>
    <w:rsid w:val="2FF24A22"/>
    <w:rsid w:val="30205730"/>
    <w:rsid w:val="30291A54"/>
    <w:rsid w:val="302E54F0"/>
    <w:rsid w:val="30596635"/>
    <w:rsid w:val="30712897"/>
    <w:rsid w:val="30915A7F"/>
    <w:rsid w:val="30BD01F3"/>
    <w:rsid w:val="30C13DA9"/>
    <w:rsid w:val="312608BD"/>
    <w:rsid w:val="31454EAC"/>
    <w:rsid w:val="31470ED5"/>
    <w:rsid w:val="318900E4"/>
    <w:rsid w:val="31D23EEC"/>
    <w:rsid w:val="31DE2F46"/>
    <w:rsid w:val="31E15C6F"/>
    <w:rsid w:val="31E22A36"/>
    <w:rsid w:val="326E5336"/>
    <w:rsid w:val="328800D1"/>
    <w:rsid w:val="32A32CAF"/>
    <w:rsid w:val="32BA6362"/>
    <w:rsid w:val="32BE1955"/>
    <w:rsid w:val="32DA76CD"/>
    <w:rsid w:val="333C6176"/>
    <w:rsid w:val="337E21E3"/>
    <w:rsid w:val="33900270"/>
    <w:rsid w:val="339A10EE"/>
    <w:rsid w:val="33C34562"/>
    <w:rsid w:val="33CF4D0C"/>
    <w:rsid w:val="33F17CED"/>
    <w:rsid w:val="33F54460"/>
    <w:rsid w:val="344B45DD"/>
    <w:rsid w:val="34752FA0"/>
    <w:rsid w:val="34BB66FC"/>
    <w:rsid w:val="34BF79FE"/>
    <w:rsid w:val="34E24AFB"/>
    <w:rsid w:val="355267E5"/>
    <w:rsid w:val="356D09E1"/>
    <w:rsid w:val="35AC3993"/>
    <w:rsid w:val="364705BA"/>
    <w:rsid w:val="366A2EDE"/>
    <w:rsid w:val="369D25C7"/>
    <w:rsid w:val="370276D6"/>
    <w:rsid w:val="37040D59"/>
    <w:rsid w:val="37614B2E"/>
    <w:rsid w:val="37A036E8"/>
    <w:rsid w:val="37C87B27"/>
    <w:rsid w:val="383C4D18"/>
    <w:rsid w:val="383E51B3"/>
    <w:rsid w:val="384A1159"/>
    <w:rsid w:val="386D4823"/>
    <w:rsid w:val="3881462B"/>
    <w:rsid w:val="38AA60E7"/>
    <w:rsid w:val="38BA6729"/>
    <w:rsid w:val="39273424"/>
    <w:rsid w:val="3933084F"/>
    <w:rsid w:val="393B021F"/>
    <w:rsid w:val="395E045F"/>
    <w:rsid w:val="397A6819"/>
    <w:rsid w:val="399F6F8D"/>
    <w:rsid w:val="39FB2C86"/>
    <w:rsid w:val="3A064C8C"/>
    <w:rsid w:val="3A3571E6"/>
    <w:rsid w:val="3A6333EE"/>
    <w:rsid w:val="3A74102A"/>
    <w:rsid w:val="3A903BF5"/>
    <w:rsid w:val="3A971BB2"/>
    <w:rsid w:val="3A9A190D"/>
    <w:rsid w:val="3AA94AF9"/>
    <w:rsid w:val="3B024F0B"/>
    <w:rsid w:val="3B365A1C"/>
    <w:rsid w:val="3B824942"/>
    <w:rsid w:val="3BB23479"/>
    <w:rsid w:val="3BF35840"/>
    <w:rsid w:val="3C1C08F2"/>
    <w:rsid w:val="3C1D1CBF"/>
    <w:rsid w:val="3C225536"/>
    <w:rsid w:val="3C383C10"/>
    <w:rsid w:val="3C38647B"/>
    <w:rsid w:val="3C642299"/>
    <w:rsid w:val="3CA055FD"/>
    <w:rsid w:val="3CA4175B"/>
    <w:rsid w:val="3CBE0B75"/>
    <w:rsid w:val="3CFF17CF"/>
    <w:rsid w:val="3D425426"/>
    <w:rsid w:val="3D581DFE"/>
    <w:rsid w:val="3D5952BA"/>
    <w:rsid w:val="3D5A05D5"/>
    <w:rsid w:val="3D5C1B3F"/>
    <w:rsid w:val="3D6407A3"/>
    <w:rsid w:val="3D70539A"/>
    <w:rsid w:val="3D7D38F8"/>
    <w:rsid w:val="3DEB1475"/>
    <w:rsid w:val="3E23240C"/>
    <w:rsid w:val="3EA87EB5"/>
    <w:rsid w:val="3F232A80"/>
    <w:rsid w:val="3F2A5475"/>
    <w:rsid w:val="3F340649"/>
    <w:rsid w:val="3F3423F7"/>
    <w:rsid w:val="3F426107"/>
    <w:rsid w:val="3FAA0F9B"/>
    <w:rsid w:val="3FB53538"/>
    <w:rsid w:val="3FBB0422"/>
    <w:rsid w:val="3FBD250E"/>
    <w:rsid w:val="3FCD5180"/>
    <w:rsid w:val="4041786B"/>
    <w:rsid w:val="40490124"/>
    <w:rsid w:val="405875C5"/>
    <w:rsid w:val="40A40B54"/>
    <w:rsid w:val="40BD1C3C"/>
    <w:rsid w:val="40C87299"/>
    <w:rsid w:val="40DA29A7"/>
    <w:rsid w:val="41006680"/>
    <w:rsid w:val="410858E9"/>
    <w:rsid w:val="41322966"/>
    <w:rsid w:val="4174188C"/>
    <w:rsid w:val="41A21D73"/>
    <w:rsid w:val="421C50AB"/>
    <w:rsid w:val="42380450"/>
    <w:rsid w:val="423A65AC"/>
    <w:rsid w:val="424A226D"/>
    <w:rsid w:val="427B01C1"/>
    <w:rsid w:val="42A056D5"/>
    <w:rsid w:val="42AF7A4A"/>
    <w:rsid w:val="42EC14EF"/>
    <w:rsid w:val="43451F95"/>
    <w:rsid w:val="43566872"/>
    <w:rsid w:val="43C87525"/>
    <w:rsid w:val="43DB72E5"/>
    <w:rsid w:val="442C5D93"/>
    <w:rsid w:val="44395BA8"/>
    <w:rsid w:val="445B390A"/>
    <w:rsid w:val="44906691"/>
    <w:rsid w:val="44DC50C3"/>
    <w:rsid w:val="45300692"/>
    <w:rsid w:val="454E1E40"/>
    <w:rsid w:val="455A6260"/>
    <w:rsid w:val="45EA1019"/>
    <w:rsid w:val="46511F47"/>
    <w:rsid w:val="46936B38"/>
    <w:rsid w:val="46BF5F87"/>
    <w:rsid w:val="46FA5CD4"/>
    <w:rsid w:val="4704723E"/>
    <w:rsid w:val="4714323A"/>
    <w:rsid w:val="476F66C2"/>
    <w:rsid w:val="477B06CC"/>
    <w:rsid w:val="477E46F8"/>
    <w:rsid w:val="47990520"/>
    <w:rsid w:val="47D057F2"/>
    <w:rsid w:val="47D31FCF"/>
    <w:rsid w:val="47D604EF"/>
    <w:rsid w:val="47E23BB5"/>
    <w:rsid w:val="47E744AA"/>
    <w:rsid w:val="484F2050"/>
    <w:rsid w:val="4866075F"/>
    <w:rsid w:val="48781455"/>
    <w:rsid w:val="4885492E"/>
    <w:rsid w:val="489108BA"/>
    <w:rsid w:val="48AF414A"/>
    <w:rsid w:val="48B90820"/>
    <w:rsid w:val="48CB4577"/>
    <w:rsid w:val="48DD3AFF"/>
    <w:rsid w:val="48E24C72"/>
    <w:rsid w:val="49262DB0"/>
    <w:rsid w:val="493514BA"/>
    <w:rsid w:val="49B71D80"/>
    <w:rsid w:val="49BF32C2"/>
    <w:rsid w:val="4A1437BF"/>
    <w:rsid w:val="4A1B043B"/>
    <w:rsid w:val="4AAF12CB"/>
    <w:rsid w:val="4ADB717D"/>
    <w:rsid w:val="4AE73D67"/>
    <w:rsid w:val="4B0E1D4E"/>
    <w:rsid w:val="4B1A164D"/>
    <w:rsid w:val="4B35377F"/>
    <w:rsid w:val="4B507061"/>
    <w:rsid w:val="4B565BFA"/>
    <w:rsid w:val="4B764E00"/>
    <w:rsid w:val="4B857DCA"/>
    <w:rsid w:val="4BA34B8C"/>
    <w:rsid w:val="4C2419D0"/>
    <w:rsid w:val="4CBB5092"/>
    <w:rsid w:val="4CEC4311"/>
    <w:rsid w:val="4D2E2B7B"/>
    <w:rsid w:val="4D486759"/>
    <w:rsid w:val="4DD059E1"/>
    <w:rsid w:val="4DD06A09"/>
    <w:rsid w:val="4DF655F8"/>
    <w:rsid w:val="4DF766CB"/>
    <w:rsid w:val="4E1517BE"/>
    <w:rsid w:val="4E2D5027"/>
    <w:rsid w:val="4E2E524B"/>
    <w:rsid w:val="4EAA6232"/>
    <w:rsid w:val="4EC9502B"/>
    <w:rsid w:val="4ECC1479"/>
    <w:rsid w:val="4EFB6A8D"/>
    <w:rsid w:val="4F135B85"/>
    <w:rsid w:val="4F590025"/>
    <w:rsid w:val="4F7E2919"/>
    <w:rsid w:val="4FAB1C62"/>
    <w:rsid w:val="4FB62250"/>
    <w:rsid w:val="4FC27377"/>
    <w:rsid w:val="50016325"/>
    <w:rsid w:val="501F267E"/>
    <w:rsid w:val="502119D7"/>
    <w:rsid w:val="503D4A8C"/>
    <w:rsid w:val="5075461D"/>
    <w:rsid w:val="50B27620"/>
    <w:rsid w:val="51343D7C"/>
    <w:rsid w:val="51497E7E"/>
    <w:rsid w:val="515A3F3F"/>
    <w:rsid w:val="51686DBA"/>
    <w:rsid w:val="51826FC0"/>
    <w:rsid w:val="518C60C3"/>
    <w:rsid w:val="51CD1DAC"/>
    <w:rsid w:val="51DD4959"/>
    <w:rsid w:val="5258786D"/>
    <w:rsid w:val="52B3007D"/>
    <w:rsid w:val="52F0408F"/>
    <w:rsid w:val="533118FD"/>
    <w:rsid w:val="537B63EF"/>
    <w:rsid w:val="53823509"/>
    <w:rsid w:val="53A72D40"/>
    <w:rsid w:val="53A87670"/>
    <w:rsid w:val="53AF36CE"/>
    <w:rsid w:val="53E55169"/>
    <w:rsid w:val="541E545B"/>
    <w:rsid w:val="542E520F"/>
    <w:rsid w:val="5488078E"/>
    <w:rsid w:val="54923EFF"/>
    <w:rsid w:val="54992FD0"/>
    <w:rsid w:val="54AB647D"/>
    <w:rsid w:val="54B03E76"/>
    <w:rsid w:val="54C97AC2"/>
    <w:rsid w:val="54D63A30"/>
    <w:rsid w:val="55250241"/>
    <w:rsid w:val="55674DDF"/>
    <w:rsid w:val="556C6EE2"/>
    <w:rsid w:val="562C577E"/>
    <w:rsid w:val="562D4371"/>
    <w:rsid w:val="56A761B3"/>
    <w:rsid w:val="56D26C7F"/>
    <w:rsid w:val="56D90809"/>
    <w:rsid w:val="56E7781E"/>
    <w:rsid w:val="574D00A2"/>
    <w:rsid w:val="57AC301B"/>
    <w:rsid w:val="57C53D6B"/>
    <w:rsid w:val="57D1482F"/>
    <w:rsid w:val="57D32355"/>
    <w:rsid w:val="57F0199F"/>
    <w:rsid w:val="5804353A"/>
    <w:rsid w:val="58E16CF4"/>
    <w:rsid w:val="58E467E4"/>
    <w:rsid w:val="58F033DB"/>
    <w:rsid w:val="58F50F85"/>
    <w:rsid w:val="59161438"/>
    <w:rsid w:val="5919023C"/>
    <w:rsid w:val="597D613B"/>
    <w:rsid w:val="59922E34"/>
    <w:rsid w:val="59AC5384"/>
    <w:rsid w:val="59AD7A3D"/>
    <w:rsid w:val="59B84887"/>
    <w:rsid w:val="5A1865C5"/>
    <w:rsid w:val="5A1924BD"/>
    <w:rsid w:val="5A217462"/>
    <w:rsid w:val="5A307B8C"/>
    <w:rsid w:val="5A582FE6"/>
    <w:rsid w:val="5A706402"/>
    <w:rsid w:val="5ABD120E"/>
    <w:rsid w:val="5ABF328C"/>
    <w:rsid w:val="5BA3311D"/>
    <w:rsid w:val="5BC1645D"/>
    <w:rsid w:val="5BCF20AD"/>
    <w:rsid w:val="5BDC19F5"/>
    <w:rsid w:val="5BF223F3"/>
    <w:rsid w:val="5C1473A8"/>
    <w:rsid w:val="5C1560D8"/>
    <w:rsid w:val="5C6E6BB0"/>
    <w:rsid w:val="5C850A9F"/>
    <w:rsid w:val="5CA2679A"/>
    <w:rsid w:val="5CED210B"/>
    <w:rsid w:val="5CF0251D"/>
    <w:rsid w:val="5CF34FF8"/>
    <w:rsid w:val="5D1F64FF"/>
    <w:rsid w:val="5D411AD3"/>
    <w:rsid w:val="5D714844"/>
    <w:rsid w:val="5D826D57"/>
    <w:rsid w:val="5DB20923"/>
    <w:rsid w:val="5E033269"/>
    <w:rsid w:val="5E1E07E7"/>
    <w:rsid w:val="5E521B3B"/>
    <w:rsid w:val="5EAB6551"/>
    <w:rsid w:val="5F065DDA"/>
    <w:rsid w:val="5F9B32E1"/>
    <w:rsid w:val="5F9D61ED"/>
    <w:rsid w:val="5FB44AA0"/>
    <w:rsid w:val="5FB71BF3"/>
    <w:rsid w:val="60675D31"/>
    <w:rsid w:val="606A7472"/>
    <w:rsid w:val="60715401"/>
    <w:rsid w:val="60CE5DB0"/>
    <w:rsid w:val="60D12056"/>
    <w:rsid w:val="60E61309"/>
    <w:rsid w:val="60F03CB7"/>
    <w:rsid w:val="61A94127"/>
    <w:rsid w:val="61DE2022"/>
    <w:rsid w:val="621243C2"/>
    <w:rsid w:val="62BB3718"/>
    <w:rsid w:val="62D74037"/>
    <w:rsid w:val="62F70A87"/>
    <w:rsid w:val="639D1D46"/>
    <w:rsid w:val="63F91396"/>
    <w:rsid w:val="645B04E3"/>
    <w:rsid w:val="647E579F"/>
    <w:rsid w:val="64B61B71"/>
    <w:rsid w:val="65097F4A"/>
    <w:rsid w:val="659C46CE"/>
    <w:rsid w:val="65A2780B"/>
    <w:rsid w:val="65A90B99"/>
    <w:rsid w:val="65B62876"/>
    <w:rsid w:val="65C71B8B"/>
    <w:rsid w:val="65C954A8"/>
    <w:rsid w:val="65D8322D"/>
    <w:rsid w:val="65EF5A83"/>
    <w:rsid w:val="661A55F3"/>
    <w:rsid w:val="662901A0"/>
    <w:rsid w:val="663A2F15"/>
    <w:rsid w:val="66860C31"/>
    <w:rsid w:val="668F7D8F"/>
    <w:rsid w:val="67055DD5"/>
    <w:rsid w:val="67055F5D"/>
    <w:rsid w:val="680475EA"/>
    <w:rsid w:val="68262C64"/>
    <w:rsid w:val="6836735F"/>
    <w:rsid w:val="685D3124"/>
    <w:rsid w:val="689E4810"/>
    <w:rsid w:val="68BF0432"/>
    <w:rsid w:val="68EA39A3"/>
    <w:rsid w:val="69090FE4"/>
    <w:rsid w:val="69430D5A"/>
    <w:rsid w:val="697539BC"/>
    <w:rsid w:val="69787200"/>
    <w:rsid w:val="698F70E4"/>
    <w:rsid w:val="69992CD3"/>
    <w:rsid w:val="69C05F4E"/>
    <w:rsid w:val="69C9180A"/>
    <w:rsid w:val="69E95A08"/>
    <w:rsid w:val="69FA7038"/>
    <w:rsid w:val="6A535578"/>
    <w:rsid w:val="6A8F2AD6"/>
    <w:rsid w:val="6AA9520C"/>
    <w:rsid w:val="6ADA5F95"/>
    <w:rsid w:val="6B011501"/>
    <w:rsid w:val="6B7834E8"/>
    <w:rsid w:val="6BD4242F"/>
    <w:rsid w:val="6C427484"/>
    <w:rsid w:val="6C5222E4"/>
    <w:rsid w:val="6CAC27B1"/>
    <w:rsid w:val="6D1D46D2"/>
    <w:rsid w:val="6D2B4B09"/>
    <w:rsid w:val="6D5E2269"/>
    <w:rsid w:val="6D9C38DB"/>
    <w:rsid w:val="6DE27083"/>
    <w:rsid w:val="6E3843D8"/>
    <w:rsid w:val="6ED00F45"/>
    <w:rsid w:val="6EF15F7A"/>
    <w:rsid w:val="6F2E655A"/>
    <w:rsid w:val="6F5222A2"/>
    <w:rsid w:val="6F604825"/>
    <w:rsid w:val="6FBE045D"/>
    <w:rsid w:val="6FCA4634"/>
    <w:rsid w:val="6FDE3B35"/>
    <w:rsid w:val="701B66BF"/>
    <w:rsid w:val="70730722"/>
    <w:rsid w:val="708D3A72"/>
    <w:rsid w:val="708E6185"/>
    <w:rsid w:val="70F839F0"/>
    <w:rsid w:val="71782745"/>
    <w:rsid w:val="719113E8"/>
    <w:rsid w:val="71F51076"/>
    <w:rsid w:val="71FC3E3B"/>
    <w:rsid w:val="72046C3E"/>
    <w:rsid w:val="722777A3"/>
    <w:rsid w:val="722C2936"/>
    <w:rsid w:val="72A66B8C"/>
    <w:rsid w:val="72ED6E1D"/>
    <w:rsid w:val="73194E41"/>
    <w:rsid w:val="73575823"/>
    <w:rsid w:val="735C6B15"/>
    <w:rsid w:val="73882AF8"/>
    <w:rsid w:val="74075CA5"/>
    <w:rsid w:val="7431692A"/>
    <w:rsid w:val="74471CA9"/>
    <w:rsid w:val="745E5732"/>
    <w:rsid w:val="75244930"/>
    <w:rsid w:val="75965ECD"/>
    <w:rsid w:val="75B765FF"/>
    <w:rsid w:val="75CC36F5"/>
    <w:rsid w:val="75EB0D5A"/>
    <w:rsid w:val="75F6554B"/>
    <w:rsid w:val="761052BE"/>
    <w:rsid w:val="770B65E2"/>
    <w:rsid w:val="77555E3A"/>
    <w:rsid w:val="778E61CB"/>
    <w:rsid w:val="78091FD0"/>
    <w:rsid w:val="78341FCB"/>
    <w:rsid w:val="786352CF"/>
    <w:rsid w:val="787D038F"/>
    <w:rsid w:val="788B637D"/>
    <w:rsid w:val="78F477F3"/>
    <w:rsid w:val="791228CE"/>
    <w:rsid w:val="793547C6"/>
    <w:rsid w:val="797D616D"/>
    <w:rsid w:val="799A287B"/>
    <w:rsid w:val="79B37DE1"/>
    <w:rsid w:val="79D864B6"/>
    <w:rsid w:val="79FF5B24"/>
    <w:rsid w:val="7A634DEF"/>
    <w:rsid w:val="7A73790A"/>
    <w:rsid w:val="7AB14D88"/>
    <w:rsid w:val="7AB526C0"/>
    <w:rsid w:val="7AD3617F"/>
    <w:rsid w:val="7AEA5A84"/>
    <w:rsid w:val="7AF573E1"/>
    <w:rsid w:val="7B1126AD"/>
    <w:rsid w:val="7B1B3E90"/>
    <w:rsid w:val="7B1D660B"/>
    <w:rsid w:val="7B3665D4"/>
    <w:rsid w:val="7B4C6C5F"/>
    <w:rsid w:val="7B6018A2"/>
    <w:rsid w:val="7B637EF6"/>
    <w:rsid w:val="7B716E94"/>
    <w:rsid w:val="7B7517F2"/>
    <w:rsid w:val="7B7C0CF3"/>
    <w:rsid w:val="7C452F3F"/>
    <w:rsid w:val="7CDB5685"/>
    <w:rsid w:val="7CDD764F"/>
    <w:rsid w:val="7CF9492F"/>
    <w:rsid w:val="7D1F118F"/>
    <w:rsid w:val="7D683BB1"/>
    <w:rsid w:val="7DA55822"/>
    <w:rsid w:val="7DCE6F97"/>
    <w:rsid w:val="7E1352F2"/>
    <w:rsid w:val="7E267149"/>
    <w:rsid w:val="7E592344"/>
    <w:rsid w:val="7E5A0489"/>
    <w:rsid w:val="7E924469"/>
    <w:rsid w:val="7E9E3739"/>
    <w:rsid w:val="7EC12C8F"/>
    <w:rsid w:val="7EE45E1A"/>
    <w:rsid w:val="7EEB5927"/>
    <w:rsid w:val="7EEB7C6B"/>
    <w:rsid w:val="7F853FCE"/>
    <w:rsid w:val="7FAD3A84"/>
    <w:rsid w:val="7FD034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76" w:lineRule="exact"/>
      <w:ind w:firstLine="1454" w:firstLineChars="200"/>
      <w:jc w:val="both"/>
    </w:pPr>
    <w:rPr>
      <w:rFonts w:ascii="仿宋" w:hAnsi="仿宋" w:eastAsia="仿宋" w:cs="Times New Roman"/>
      <w:color w:val="auto"/>
      <w:spacing w:val="-6"/>
      <w:kern w:val="2"/>
      <w:sz w:val="32"/>
      <w:szCs w:val="32"/>
      <w:lang w:val="en-US" w:eastAsia="zh-CN" w:bidi="ar-SA"/>
    </w:rPr>
  </w:style>
  <w:style w:type="paragraph" w:styleId="2">
    <w:name w:val="heading 1"/>
    <w:next w:val="3"/>
    <w:qFormat/>
    <w:uiPriority w:val="0"/>
    <w:pPr>
      <w:keepNext/>
      <w:keepLines/>
      <w:numPr>
        <w:ilvl w:val="0"/>
        <w:numId w:val="1"/>
      </w:numPr>
      <w:adjustRightInd w:val="0"/>
      <w:snapToGrid w:val="0"/>
      <w:spacing w:line="576" w:lineRule="exact"/>
      <w:ind w:firstLine="894" w:firstLineChars="200"/>
      <w:outlineLvl w:val="0"/>
    </w:pPr>
    <w:rPr>
      <w:rFonts w:ascii="黑体" w:hAnsi="黑体" w:eastAsia="黑体" w:cs="Times New Roman"/>
      <w:color w:val="auto"/>
      <w:kern w:val="44"/>
      <w:sz w:val="32"/>
      <w:szCs w:val="32"/>
      <w:lang w:val="en-US" w:eastAsia="zh-CN" w:bidi="ar-SA"/>
    </w:rPr>
  </w:style>
  <w:style w:type="paragraph" w:styleId="4">
    <w:name w:val="heading 2"/>
    <w:next w:val="3"/>
    <w:unhideWhenUsed/>
    <w:qFormat/>
    <w:uiPriority w:val="0"/>
    <w:pPr>
      <w:keepNext/>
      <w:keepLines/>
      <w:numPr>
        <w:ilvl w:val="1"/>
        <w:numId w:val="1"/>
      </w:numPr>
      <w:adjustRightInd w:val="0"/>
      <w:snapToGrid w:val="0"/>
      <w:spacing w:line="576" w:lineRule="exact"/>
      <w:ind w:firstLine="0" w:firstLineChars="0"/>
      <w:outlineLvl w:val="1"/>
    </w:pPr>
    <w:rPr>
      <w:rFonts w:ascii="楷体" w:hAnsi="楷体" w:eastAsia="楷体" w:cs="Times New Roman"/>
      <w:color w:val="auto"/>
      <w:sz w:val="32"/>
      <w:szCs w:val="32"/>
      <w:lang w:val="en-US" w:eastAsia="zh-CN" w:bidi="ar-SA"/>
    </w:rPr>
  </w:style>
  <w:style w:type="paragraph" w:styleId="5">
    <w:name w:val="heading 3"/>
    <w:basedOn w:val="1"/>
    <w:next w:val="1"/>
    <w:unhideWhenUsed/>
    <w:qFormat/>
    <w:uiPriority w:val="0"/>
    <w:pPr>
      <w:keepNext/>
      <w:keepLines/>
      <w:numPr>
        <w:ilvl w:val="2"/>
        <w:numId w:val="1"/>
      </w:numPr>
      <w:tabs>
        <w:tab w:val="left" w:pos="312"/>
        <w:tab w:val="clear" w:pos="0"/>
      </w:tabs>
      <w:adjustRightInd w:val="0"/>
      <w:snapToGrid w:val="0"/>
      <w:spacing w:line="576" w:lineRule="exact"/>
      <w:ind w:firstLine="400" w:firstLineChars="0"/>
      <w:outlineLvl w:val="2"/>
    </w:pPr>
    <w:rPr>
      <w:rFonts w:ascii="仿宋" w:hAnsi="仿宋" w:eastAsia="仿宋" w:cs="Times New Roman"/>
      <w:color w:val="auto"/>
      <w:sz w:val="32"/>
      <w:szCs w:val="32"/>
      <w:lang w:val="en-US" w:eastAsia="zh-CN" w:bidi="ar-SA"/>
    </w:rPr>
  </w:style>
  <w:style w:type="paragraph" w:styleId="6">
    <w:name w:val="heading 4"/>
    <w:next w:val="3"/>
    <w:link w:val="46"/>
    <w:unhideWhenUsed/>
    <w:qFormat/>
    <w:uiPriority w:val="0"/>
    <w:pPr>
      <w:keepNext/>
      <w:keepLines/>
      <w:numPr>
        <w:ilvl w:val="3"/>
        <w:numId w:val="1"/>
      </w:numPr>
      <w:adjustRightInd w:val="0"/>
      <w:snapToGrid w:val="0"/>
      <w:spacing w:line="576" w:lineRule="exact"/>
      <w:ind w:firstLine="402" w:firstLineChars="0"/>
      <w:outlineLvl w:val="3"/>
    </w:pPr>
    <w:rPr>
      <w:rFonts w:ascii="仿宋" w:hAnsi="仿宋" w:eastAsia="仿宋" w:cs="Times New Roman"/>
      <w:color w:val="auto"/>
      <w:sz w:val="32"/>
      <w:szCs w:val="32"/>
    </w:rPr>
  </w:style>
  <w:style w:type="paragraph" w:styleId="7">
    <w:name w:val="heading 5"/>
    <w:next w:val="3"/>
    <w:unhideWhenUsed/>
    <w:qFormat/>
    <w:uiPriority w:val="0"/>
    <w:pPr>
      <w:numPr>
        <w:ilvl w:val="4"/>
        <w:numId w:val="1"/>
      </w:numPr>
      <w:adjustRightInd w:val="0"/>
      <w:snapToGrid w:val="0"/>
      <w:spacing w:line="576" w:lineRule="exact"/>
      <w:ind w:firstLine="402" w:firstLineChars="0"/>
      <w:outlineLvl w:val="4"/>
    </w:pPr>
    <w:rPr>
      <w:rFonts w:ascii="仿宋" w:hAnsi="仿宋" w:eastAsia="仿宋" w:cs="Times New Roman"/>
      <w:color w:val="auto"/>
      <w:sz w:val="32"/>
      <w:szCs w:val="32"/>
      <w:lang w:val="en-US" w:eastAsia="zh-CN" w:bidi="ar-SA"/>
    </w:rPr>
  </w:style>
  <w:style w:type="paragraph" w:styleId="8">
    <w:name w:val="heading 6"/>
    <w:next w:val="3"/>
    <w:unhideWhenUsed/>
    <w:qFormat/>
    <w:uiPriority w:val="0"/>
    <w:pPr>
      <w:numPr>
        <w:ilvl w:val="5"/>
        <w:numId w:val="1"/>
      </w:numPr>
      <w:adjustRightInd w:val="0"/>
      <w:snapToGrid w:val="0"/>
      <w:spacing w:line="576" w:lineRule="exact"/>
      <w:ind w:firstLine="402" w:firstLineChars="0"/>
      <w:outlineLvl w:val="5"/>
    </w:pPr>
    <w:rPr>
      <w:rFonts w:ascii="仿宋" w:hAnsi="仿宋" w:eastAsia="仿宋" w:cs="Times New Roman"/>
      <w:color w:val="auto"/>
      <w:sz w:val="32"/>
      <w:szCs w:val="32"/>
      <w:lang w:val="en-US" w:eastAsia="zh-CN" w:bidi="ar-SA"/>
    </w:rPr>
  </w:style>
  <w:style w:type="paragraph" w:styleId="9">
    <w:name w:val="heading 7"/>
    <w:next w:val="3"/>
    <w:unhideWhenUsed/>
    <w:qFormat/>
    <w:uiPriority w:val="0"/>
    <w:pPr>
      <w:numPr>
        <w:ilvl w:val="6"/>
        <w:numId w:val="1"/>
      </w:numPr>
      <w:adjustRightInd w:val="0"/>
      <w:snapToGrid w:val="0"/>
      <w:spacing w:line="576" w:lineRule="exact"/>
      <w:ind w:firstLine="402" w:firstLineChars="0"/>
      <w:outlineLvl w:val="6"/>
    </w:pPr>
    <w:rPr>
      <w:rFonts w:ascii="仿宋" w:hAnsi="仿宋" w:eastAsia="仿宋" w:cs="Times New Roman"/>
      <w:color w:val="auto"/>
      <w:sz w:val="32"/>
      <w:szCs w:val="32"/>
      <w:lang w:val="en-US" w:eastAsia="zh-CN" w:bidi="ar-SA"/>
    </w:rPr>
  </w:style>
  <w:style w:type="paragraph" w:styleId="10">
    <w:name w:val="heading 8"/>
    <w:next w:val="3"/>
    <w:unhideWhenUsed/>
    <w:qFormat/>
    <w:uiPriority w:val="0"/>
    <w:pPr>
      <w:numPr>
        <w:ilvl w:val="7"/>
        <w:numId w:val="1"/>
      </w:numPr>
      <w:adjustRightInd w:val="0"/>
      <w:snapToGrid w:val="0"/>
      <w:spacing w:line="576" w:lineRule="exact"/>
      <w:ind w:firstLine="402" w:firstLineChars="0"/>
      <w:outlineLvl w:val="7"/>
    </w:pPr>
    <w:rPr>
      <w:rFonts w:ascii="仿宋" w:hAnsi="仿宋" w:eastAsia="仿宋" w:cs="Times New Roman"/>
      <w:color w:val="auto"/>
      <w:sz w:val="32"/>
      <w:szCs w:val="32"/>
      <w:lang w:val="en-US" w:eastAsia="zh-CN" w:bidi="ar-SA"/>
    </w:rPr>
  </w:style>
  <w:style w:type="paragraph" w:styleId="11">
    <w:name w:val="heading 9"/>
    <w:next w:val="3"/>
    <w:unhideWhenUsed/>
    <w:qFormat/>
    <w:uiPriority w:val="0"/>
    <w:pPr>
      <w:numPr>
        <w:ilvl w:val="8"/>
        <w:numId w:val="1"/>
      </w:numPr>
      <w:adjustRightInd w:val="0"/>
      <w:snapToGrid w:val="0"/>
      <w:spacing w:line="576" w:lineRule="exact"/>
      <w:ind w:firstLine="402" w:firstLineChars="0"/>
      <w:outlineLvl w:val="8"/>
    </w:pPr>
    <w:rPr>
      <w:rFonts w:ascii="仿宋" w:hAnsi="仿宋" w:eastAsia="仿宋" w:cs="Times New Roman"/>
      <w:color w:val="auto"/>
      <w:sz w:val="32"/>
      <w:szCs w:val="32"/>
      <w:lang w:val="en-US" w:eastAsia="zh-CN" w:bidi="ar-SA"/>
    </w:rPr>
  </w:style>
  <w:style w:type="character" w:default="1" w:styleId="36">
    <w:name w:val="Default Paragraph Font"/>
    <w:unhideWhenUsed/>
    <w:qFormat/>
    <w:uiPriority w:val="1"/>
  </w:style>
  <w:style w:type="table" w:default="1" w:styleId="34">
    <w:name w:val="Normal Table"/>
    <w:semiHidden/>
    <w:qFormat/>
    <w:uiPriority w:val="0"/>
    <w:tblPr>
      <w:tblCellMar>
        <w:top w:w="0" w:type="dxa"/>
        <w:left w:w="108" w:type="dxa"/>
        <w:bottom w:w="0" w:type="dxa"/>
        <w:right w:w="108" w:type="dxa"/>
      </w:tblCellMar>
    </w:tblPr>
  </w:style>
  <w:style w:type="paragraph" w:styleId="3">
    <w:name w:val="Body Text"/>
    <w:basedOn w:val="1"/>
    <w:link w:val="45"/>
    <w:qFormat/>
    <w:uiPriority w:val="0"/>
    <w:pPr>
      <w:adjustRightInd w:val="0"/>
      <w:snapToGrid w:val="0"/>
      <w:spacing w:line="576" w:lineRule="exact"/>
      <w:ind w:firstLine="630" w:firstLineChars="200"/>
    </w:pPr>
    <w:rPr>
      <w:rFonts w:ascii="仿宋" w:hAnsi="仿宋" w:eastAsia="仿宋" w:cs="Times New Roman"/>
      <w:color w:val="auto"/>
      <w:spacing w:val="-6"/>
      <w:sz w:val="32"/>
      <w:szCs w:val="32"/>
    </w:rPr>
  </w:style>
  <w:style w:type="paragraph" w:styleId="12">
    <w:name w:val="caption"/>
    <w:basedOn w:val="1"/>
    <w:next w:val="1"/>
    <w:unhideWhenUsed/>
    <w:qFormat/>
    <w:uiPriority w:val="0"/>
    <w:pPr>
      <w:ind w:firstLine="0" w:firstLineChars="0"/>
    </w:pPr>
    <w:rPr>
      <w:rFonts w:cs="仿宋"/>
      <w:sz w:val="20"/>
    </w:rPr>
  </w:style>
  <w:style w:type="paragraph" w:styleId="13">
    <w:name w:val="annotation text"/>
    <w:basedOn w:val="1"/>
    <w:qFormat/>
    <w:uiPriority w:val="0"/>
    <w:pPr>
      <w:jc w:val="left"/>
    </w:pPr>
    <w:rPr>
      <w:color w:val="252525"/>
    </w:rPr>
  </w:style>
  <w:style w:type="paragraph" w:styleId="14">
    <w:name w:val="Salutation"/>
    <w:basedOn w:val="1"/>
    <w:next w:val="1"/>
    <w:qFormat/>
    <w:uiPriority w:val="0"/>
    <w:pPr>
      <w:ind w:firstLine="0" w:firstLineChars="0"/>
    </w:pPr>
    <w:rPr>
      <w:color w:val="auto"/>
    </w:rPr>
  </w:style>
  <w:style w:type="paragraph" w:styleId="15">
    <w:name w:val="List Bullet 3"/>
    <w:basedOn w:val="1"/>
    <w:qFormat/>
    <w:uiPriority w:val="0"/>
    <w:pPr>
      <w:numPr>
        <w:ilvl w:val="0"/>
        <w:numId w:val="2"/>
      </w:numPr>
    </w:pPr>
    <w:rPr>
      <w:color w:val="252525"/>
    </w:rPr>
  </w:style>
  <w:style w:type="paragraph" w:styleId="16">
    <w:name w:val="toc 5"/>
    <w:basedOn w:val="1"/>
    <w:next w:val="1"/>
    <w:qFormat/>
    <w:uiPriority w:val="0"/>
    <w:pPr>
      <w:ind w:left="1680" w:leftChars="800"/>
    </w:pPr>
    <w:rPr>
      <w:color w:val="252525"/>
    </w:rPr>
  </w:style>
  <w:style w:type="paragraph" w:styleId="17">
    <w:name w:val="toc 3"/>
    <w:basedOn w:val="1"/>
    <w:next w:val="1"/>
    <w:qFormat/>
    <w:uiPriority w:val="0"/>
    <w:pPr>
      <w:ind w:left="840" w:leftChars="400"/>
    </w:pPr>
    <w:rPr>
      <w:color w:val="252525"/>
    </w:rPr>
  </w:style>
  <w:style w:type="paragraph" w:styleId="18">
    <w:name w:val="Plain Text"/>
    <w:basedOn w:val="1"/>
    <w:qFormat/>
    <w:uiPriority w:val="0"/>
    <w:rPr>
      <w:rFonts w:ascii="宋体" w:hAnsi="Courier New"/>
      <w:snapToGrid w:val="0"/>
      <w:color w:val="252525"/>
      <w:kern w:val="0"/>
      <w:sz w:val="20"/>
      <w:szCs w:val="21"/>
      <w:lang w:val="zh-CN"/>
    </w:rPr>
  </w:style>
  <w:style w:type="paragraph" w:styleId="19">
    <w:name w:val="Date"/>
    <w:basedOn w:val="1"/>
    <w:next w:val="1"/>
    <w:qFormat/>
    <w:uiPriority w:val="0"/>
    <w:pPr>
      <w:ind w:firstLine="0" w:firstLineChars="0"/>
      <w:jc w:val="right"/>
    </w:pPr>
    <w:rPr>
      <w:color w:val="252525"/>
    </w:rPr>
  </w:style>
  <w:style w:type="paragraph" w:styleId="20">
    <w:name w:val="Body Text Indent 2"/>
    <w:basedOn w:val="1"/>
    <w:unhideWhenUsed/>
    <w:qFormat/>
    <w:uiPriority w:val="99"/>
    <w:pPr>
      <w:spacing w:after="120" w:line="480" w:lineRule="auto"/>
      <w:ind w:left="420" w:leftChars="200"/>
    </w:pPr>
  </w:style>
  <w:style w:type="paragraph" w:styleId="21">
    <w:name w:val="endnote text"/>
    <w:basedOn w:val="1"/>
    <w:qFormat/>
    <w:uiPriority w:val="0"/>
    <w:pPr>
      <w:jc w:val="left"/>
    </w:pPr>
    <w:rPr>
      <w:color w:val="252525"/>
    </w:rPr>
  </w:style>
  <w:style w:type="paragraph" w:styleId="22">
    <w:name w:val="Balloon Text"/>
    <w:basedOn w:val="1"/>
    <w:qFormat/>
    <w:uiPriority w:val="0"/>
    <w:rPr>
      <w:sz w:val="18"/>
      <w:szCs w:val="18"/>
    </w:rPr>
  </w:style>
  <w:style w:type="paragraph" w:styleId="23">
    <w:name w:val="footer"/>
    <w:basedOn w:val="1"/>
    <w:qFormat/>
    <w:uiPriority w:val="0"/>
    <w:pPr>
      <w:tabs>
        <w:tab w:val="center" w:pos="4153"/>
        <w:tab w:val="right" w:pos="8306"/>
      </w:tabs>
      <w:ind w:firstLine="0" w:firstLineChars="0"/>
      <w:jc w:val="left"/>
    </w:pPr>
    <w:rPr>
      <w:sz w:val="18"/>
      <w:szCs w:val="18"/>
    </w:rPr>
  </w:style>
  <w:style w:type="paragraph" w:styleId="2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ind w:firstLine="0" w:firstLineChars="0"/>
    </w:pPr>
    <w:rPr>
      <w:sz w:val="18"/>
      <w:szCs w:val="18"/>
    </w:rPr>
  </w:style>
  <w:style w:type="paragraph" w:styleId="25">
    <w:name w:val="Signature"/>
    <w:basedOn w:val="1"/>
    <w:qFormat/>
    <w:uiPriority w:val="0"/>
    <w:pPr>
      <w:ind w:firstLine="0" w:firstLineChars="0"/>
      <w:jc w:val="right"/>
    </w:pPr>
    <w:rPr>
      <w:color w:val="252525"/>
    </w:rPr>
  </w:style>
  <w:style w:type="paragraph" w:styleId="26">
    <w:name w:val="toc 1"/>
    <w:basedOn w:val="1"/>
    <w:next w:val="1"/>
    <w:qFormat/>
    <w:uiPriority w:val="0"/>
    <w:rPr>
      <w:color w:val="252525"/>
    </w:rPr>
  </w:style>
  <w:style w:type="paragraph" w:styleId="27">
    <w:name w:val="toc 4"/>
    <w:basedOn w:val="1"/>
    <w:next w:val="1"/>
    <w:qFormat/>
    <w:uiPriority w:val="0"/>
    <w:pPr>
      <w:ind w:left="1260" w:leftChars="600"/>
    </w:pPr>
    <w:rPr>
      <w:color w:val="252525"/>
    </w:rPr>
  </w:style>
  <w:style w:type="paragraph" w:styleId="28">
    <w:name w:val="Subtitle"/>
    <w:next w:val="3"/>
    <w:link w:val="47"/>
    <w:qFormat/>
    <w:uiPriority w:val="0"/>
    <w:pPr>
      <w:adjustRightInd w:val="0"/>
      <w:snapToGrid w:val="0"/>
      <w:spacing w:line="720" w:lineRule="exact"/>
      <w:jc w:val="center"/>
      <w:outlineLvl w:val="1"/>
    </w:pPr>
    <w:rPr>
      <w:rFonts w:ascii="黑体" w:hAnsi="黑体" w:eastAsia="黑体" w:cs="Times New Roman"/>
      <w:color w:val="auto"/>
      <w:kern w:val="28"/>
      <w:sz w:val="36"/>
      <w:szCs w:val="36"/>
    </w:rPr>
  </w:style>
  <w:style w:type="paragraph" w:styleId="29">
    <w:name w:val="footnote text"/>
    <w:basedOn w:val="1"/>
    <w:qFormat/>
    <w:uiPriority w:val="0"/>
    <w:pPr>
      <w:jc w:val="left"/>
    </w:pPr>
    <w:rPr>
      <w:sz w:val="18"/>
      <w:szCs w:val="18"/>
    </w:rPr>
  </w:style>
  <w:style w:type="paragraph" w:styleId="30">
    <w:name w:val="toc 2"/>
    <w:basedOn w:val="1"/>
    <w:next w:val="1"/>
    <w:qFormat/>
    <w:uiPriority w:val="0"/>
    <w:pPr>
      <w:ind w:left="420" w:leftChars="200"/>
    </w:pPr>
    <w:rPr>
      <w:color w:val="252525"/>
    </w:rPr>
  </w:style>
  <w:style w:type="paragraph" w:styleId="31">
    <w:name w:val="Normal (Web)"/>
    <w:basedOn w:val="1"/>
    <w:qFormat/>
    <w:uiPriority w:val="0"/>
    <w:rPr>
      <w:sz w:val="24"/>
      <w:szCs w:val="24"/>
    </w:rPr>
  </w:style>
  <w:style w:type="paragraph" w:styleId="32">
    <w:name w:val="Title"/>
    <w:link w:val="48"/>
    <w:qFormat/>
    <w:uiPriority w:val="0"/>
    <w:pPr>
      <w:adjustRightInd w:val="0"/>
      <w:snapToGrid w:val="0"/>
      <w:spacing w:after="296" w:line="720" w:lineRule="exact"/>
      <w:jc w:val="center"/>
      <w:outlineLvl w:val="0"/>
    </w:pPr>
    <w:rPr>
      <w:rFonts w:ascii="方正小标宋简体" w:hAnsi="方正小标宋简体" w:eastAsia="方正小标宋简体" w:cs="Times New Roman"/>
      <w:color w:val="252525"/>
      <w:sz w:val="44"/>
      <w:szCs w:val="44"/>
      <w:lang w:val="en-US" w:eastAsia="zh-CN" w:bidi="ar-SA"/>
    </w:rPr>
  </w:style>
  <w:style w:type="paragraph" w:styleId="33">
    <w:name w:val="annotation subject"/>
    <w:basedOn w:val="13"/>
    <w:next w:val="13"/>
    <w:qFormat/>
    <w:uiPriority w:val="0"/>
    <w:rPr>
      <w:b/>
      <w:color w:val="252525"/>
    </w:rPr>
  </w:style>
  <w:style w:type="table" w:styleId="35">
    <w:name w:val="Table Grid"/>
    <w:basedOn w:val="3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qFormat/>
    <w:uiPriority w:val="0"/>
    <w:rPr>
      <w:rFonts w:ascii="仿宋" w:hAnsi="仿宋" w:eastAsia="仿宋" w:cs="Times New Roman"/>
      <w:b/>
      <w:bCs/>
      <w:color w:val="252525"/>
      <w:spacing w:val="-6"/>
      <w:kern w:val="2"/>
      <w:sz w:val="32"/>
      <w:szCs w:val="32"/>
      <w:u w:val="single"/>
      <w:lang w:val="en-US" w:eastAsia="zh-CN" w:bidi="ar-SA"/>
    </w:rPr>
  </w:style>
  <w:style w:type="character" w:styleId="38">
    <w:name w:val="endnote reference"/>
    <w:basedOn w:val="36"/>
    <w:qFormat/>
    <w:uiPriority w:val="0"/>
    <w:rPr>
      <w:rFonts w:ascii="仿宋" w:hAnsi="仿宋" w:eastAsia="仿宋"/>
      <w:color w:val="252525"/>
      <w:vertAlign w:val="superscript"/>
    </w:rPr>
  </w:style>
  <w:style w:type="character" w:styleId="39">
    <w:name w:val="page number"/>
    <w:qFormat/>
    <w:uiPriority w:val="0"/>
    <w:rPr>
      <w:rFonts w:ascii="宋体" w:hAnsi="宋体" w:eastAsia="宋体" w:cs="Times New Roman"/>
      <w:color w:val="252525"/>
      <w:spacing w:val="-6"/>
      <w:kern w:val="2"/>
      <w:sz w:val="28"/>
      <w:szCs w:val="28"/>
      <w:lang w:val="en-US" w:eastAsia="zh-CN" w:bidi="ar-SA"/>
    </w:rPr>
  </w:style>
  <w:style w:type="character" w:styleId="40">
    <w:name w:val="FollowedHyperlink"/>
    <w:basedOn w:val="36"/>
    <w:qFormat/>
    <w:uiPriority w:val="0"/>
    <w:rPr>
      <w:rFonts w:ascii="仿宋" w:hAnsi="仿宋" w:eastAsia="仿宋" w:cs="Times New Roman"/>
      <w:color w:val="800080"/>
      <w:spacing w:val="-6"/>
      <w:kern w:val="2"/>
      <w:sz w:val="32"/>
      <w:szCs w:val="32"/>
      <w:u w:val="single"/>
      <w:lang w:val="en-US" w:eastAsia="zh-CN" w:bidi="ar-SA"/>
    </w:rPr>
  </w:style>
  <w:style w:type="character" w:styleId="41">
    <w:name w:val="Emphasis"/>
    <w:qFormat/>
    <w:uiPriority w:val="0"/>
    <w:rPr>
      <w:rFonts w:ascii="仿宋" w:hAnsi="仿宋" w:eastAsia="仿宋" w:cs="Times New Roman"/>
      <w:b/>
      <w:bCs/>
      <w:color w:val="252525"/>
      <w:spacing w:val="-6"/>
      <w:kern w:val="2"/>
      <w:sz w:val="32"/>
      <w:szCs w:val="32"/>
      <w:lang w:val="en-US" w:eastAsia="zh-CN" w:bidi="ar-SA"/>
    </w:rPr>
  </w:style>
  <w:style w:type="character" w:styleId="42">
    <w:name w:val="Hyperlink"/>
    <w:basedOn w:val="36"/>
    <w:qFormat/>
    <w:uiPriority w:val="0"/>
    <w:rPr>
      <w:rFonts w:ascii="仿宋" w:hAnsi="仿宋" w:eastAsia="仿宋" w:cs="Times New Roman"/>
      <w:caps/>
      <w:color w:val="0000FF"/>
      <w:spacing w:val="-6"/>
      <w:kern w:val="2"/>
      <w:sz w:val="32"/>
      <w:szCs w:val="32"/>
      <w:u w:val="single"/>
      <w:lang w:val="en-US" w:eastAsia="zh-CN" w:bidi="ar-SA"/>
    </w:rPr>
  </w:style>
  <w:style w:type="character" w:styleId="43">
    <w:name w:val="annotation reference"/>
    <w:basedOn w:val="36"/>
    <w:qFormat/>
    <w:uiPriority w:val="0"/>
    <w:rPr>
      <w:rFonts w:ascii="仿宋" w:hAnsi="仿宋" w:eastAsia="仿宋"/>
      <w:color w:val="252525"/>
      <w:sz w:val="21"/>
      <w:szCs w:val="21"/>
    </w:rPr>
  </w:style>
  <w:style w:type="character" w:styleId="44">
    <w:name w:val="footnote reference"/>
    <w:basedOn w:val="36"/>
    <w:qFormat/>
    <w:uiPriority w:val="0"/>
    <w:rPr>
      <w:rFonts w:ascii="仿宋" w:hAnsi="仿宋" w:eastAsia="仿宋"/>
      <w:color w:val="252525"/>
      <w:vertAlign w:val="superscript"/>
    </w:rPr>
  </w:style>
  <w:style w:type="character" w:customStyle="1" w:styleId="45">
    <w:name w:val="正文文本 字符"/>
    <w:link w:val="3"/>
    <w:qFormat/>
    <w:uiPriority w:val="0"/>
    <w:rPr>
      <w:rFonts w:ascii="仿宋" w:hAnsi="仿宋" w:eastAsia="仿宋" w:cs="Times New Roman"/>
      <w:color w:val="auto"/>
      <w:spacing w:val="-6"/>
      <w:sz w:val="32"/>
      <w:szCs w:val="32"/>
    </w:rPr>
  </w:style>
  <w:style w:type="character" w:customStyle="1" w:styleId="46">
    <w:name w:val="标题 4 字符"/>
    <w:link w:val="6"/>
    <w:qFormat/>
    <w:uiPriority w:val="9"/>
    <w:rPr>
      <w:rFonts w:ascii="仿宋" w:hAnsi="仿宋" w:eastAsia="仿宋" w:cs="Times New Roman"/>
      <w:color w:val="auto"/>
      <w:sz w:val="32"/>
      <w:szCs w:val="32"/>
    </w:rPr>
  </w:style>
  <w:style w:type="character" w:customStyle="1" w:styleId="47">
    <w:name w:val="副标题 字符"/>
    <w:link w:val="28"/>
    <w:qFormat/>
    <w:uiPriority w:val="0"/>
    <w:rPr>
      <w:rFonts w:ascii="黑体" w:hAnsi="黑体" w:eastAsia="黑体" w:cs="Times New Roman"/>
      <w:color w:val="auto"/>
      <w:kern w:val="28"/>
      <w:sz w:val="36"/>
      <w:szCs w:val="36"/>
    </w:rPr>
  </w:style>
  <w:style w:type="character" w:customStyle="1" w:styleId="48">
    <w:name w:val="标题 字符"/>
    <w:link w:val="32"/>
    <w:qFormat/>
    <w:uiPriority w:val="0"/>
    <w:rPr>
      <w:rFonts w:ascii="方正小标宋简体" w:hAnsi="方正小标宋简体" w:eastAsia="方正小标宋简体" w:cs="Times New Roman"/>
      <w:color w:val="252525"/>
      <w:sz w:val="44"/>
      <w:szCs w:val="44"/>
      <w:lang w:val="en-US" w:eastAsia="zh-CN" w:bidi="ar-SA"/>
    </w:rPr>
  </w:style>
  <w:style w:type="table" w:customStyle="1" w:styleId="49">
    <w:name w:val="Table Normal"/>
    <w:unhideWhenUsed/>
    <w:qFormat/>
    <w:uiPriority w:val="0"/>
    <w:tblPr>
      <w:tblCellMar>
        <w:top w:w="0" w:type="dxa"/>
        <w:left w:w="0" w:type="dxa"/>
        <w:bottom w:w="0" w:type="dxa"/>
        <w:right w:w="0" w:type="dxa"/>
      </w:tblCellMar>
    </w:tblPr>
  </w:style>
  <w:style w:type="paragraph" w:customStyle="1" w:styleId="50">
    <w:name w:val="Table Text"/>
    <w:basedOn w:val="1"/>
    <w:semiHidden/>
    <w:qFormat/>
    <w:uiPriority w:val="0"/>
    <w:rPr>
      <w:rFonts w:ascii="Arial" w:hAnsi="Arial" w:eastAsia="Arial" w:cs="Arial"/>
      <w:sz w:val="21"/>
      <w:szCs w:val="21"/>
      <w:lang w:val="en-US" w:eastAsia="en-US" w:bidi="ar-SA"/>
    </w:rPr>
  </w:style>
  <w:style w:type="paragraph" w:customStyle="1" w:styleId="51">
    <w:name w:val="目录标题"/>
    <w:qFormat/>
    <w:uiPriority w:val="0"/>
    <w:pPr>
      <w:adjustRightInd w:val="0"/>
      <w:jc w:val="center"/>
      <w:textAlignment w:val="center"/>
    </w:pPr>
    <w:rPr>
      <w:rFonts w:ascii="黑体" w:hAnsi="黑体" w:eastAsia="黑体" w:cs="Times New Roman"/>
      <w:color w:val="auto"/>
      <w:sz w:val="32"/>
      <w:szCs w:val="32"/>
      <w:lang w:val="en-US" w:eastAsia="zh-CN" w:bidi="ar-SA"/>
    </w:rPr>
  </w:style>
  <w:style w:type="paragraph" w:customStyle="1" w:styleId="52">
    <w:name w:val="章标题"/>
    <w:basedOn w:val="1"/>
    <w:next w:val="1"/>
    <w:qFormat/>
    <w:uiPriority w:val="0"/>
    <w:pPr>
      <w:spacing w:line="720" w:lineRule="exact"/>
      <w:ind w:firstLine="0" w:firstLineChars="0"/>
      <w:jc w:val="center"/>
      <w:outlineLvl w:val="0"/>
    </w:pPr>
    <w:rPr>
      <w:rFonts w:hint="eastAsia" w:ascii="黑体" w:hAnsi="黑体" w:eastAsia="黑体"/>
      <w:kern w:val="44"/>
      <w:sz w:val="36"/>
      <w:szCs w:val="36"/>
    </w:rPr>
  </w:style>
  <w:style w:type="paragraph" w:customStyle="1" w:styleId="53">
    <w:name w:val="题注1"/>
    <w:basedOn w:val="1"/>
    <w:qFormat/>
    <w:uiPriority w:val="0"/>
    <w:pPr>
      <w:ind w:firstLine="0" w:firstLineChars="0"/>
    </w:pPr>
    <w:rPr>
      <w:rFonts w:hint="eastAsia"/>
      <w:sz w:val="20"/>
      <w:szCs w:val="20"/>
    </w:rPr>
  </w:style>
  <w:style w:type="paragraph" w:customStyle="1" w:styleId="54">
    <w:name w:val="文档说明标题"/>
    <w:next w:val="1"/>
    <w:qFormat/>
    <w:uiPriority w:val="0"/>
    <w:pPr>
      <w:keepNext/>
      <w:keepLines/>
      <w:tabs>
        <w:tab w:val="left" w:pos="0"/>
      </w:tabs>
      <w:adjustRightInd w:val="0"/>
      <w:snapToGrid w:val="0"/>
      <w:spacing w:line="720" w:lineRule="exact"/>
      <w:jc w:val="center"/>
      <w:outlineLvl w:val="0"/>
    </w:pPr>
    <w:rPr>
      <w:rFonts w:ascii="黑体" w:hAnsi="黑体" w:eastAsia="黑体" w:cs="Times New Roman"/>
      <w:color w:val="auto"/>
      <w:kern w:val="44"/>
      <w:sz w:val="36"/>
      <w:szCs w:val="36"/>
      <w:lang w:val="en-US" w:eastAsia="zh-CN" w:bidi="ar-SA"/>
    </w:rPr>
  </w:style>
  <w:style w:type="paragraph" w:customStyle="1" w:styleId="55">
    <w:name w:val="节标题"/>
    <w:next w:val="1"/>
    <w:qFormat/>
    <w:uiPriority w:val="0"/>
    <w:pPr>
      <w:tabs>
        <w:tab w:val="left" w:pos="0"/>
      </w:tabs>
      <w:adjustRightInd w:val="0"/>
      <w:snapToGrid w:val="0"/>
      <w:spacing w:line="720" w:lineRule="exact"/>
      <w:jc w:val="center"/>
    </w:pPr>
    <w:rPr>
      <w:rFonts w:ascii="黑体" w:hAnsi="黑体" w:eastAsia="黑体" w:cs="Times New Roman"/>
      <w:color w:val="auto"/>
      <w:sz w:val="32"/>
      <w:szCs w:val="32"/>
      <w:lang w:val="en-US" w:eastAsia="zh-CN" w:bidi="ar-SA"/>
    </w:rPr>
  </w:style>
  <w:style w:type="paragraph" w:customStyle="1" w:styleId="56">
    <w:name w:val="附录标题"/>
    <w:next w:val="3"/>
    <w:qFormat/>
    <w:uiPriority w:val="0"/>
    <w:pPr>
      <w:overflowPunct w:val="0"/>
      <w:topLinePunct/>
      <w:adjustRightInd w:val="0"/>
      <w:snapToGrid w:val="0"/>
      <w:spacing w:line="720" w:lineRule="exact"/>
      <w:jc w:val="center"/>
    </w:pPr>
    <w:rPr>
      <w:rFonts w:hint="eastAsia" w:ascii="黑体" w:hAnsi="黑体" w:eastAsia="黑体" w:cs="Times New Roman"/>
      <w:color w:val="auto"/>
      <w:sz w:val="36"/>
      <w:szCs w:val="36"/>
      <w:lang w:val="en-US" w:eastAsia="zh-CN" w:bidi="ar-SA"/>
    </w:rPr>
  </w:style>
  <w:style w:type="character" w:customStyle="1" w:styleId="57">
    <w:name w:val="参考文献条目"/>
    <w:basedOn w:val="36"/>
    <w:qFormat/>
    <w:uiPriority w:val="0"/>
    <w:rPr>
      <w:rFonts w:ascii="黑体" w:hAnsi="黑体" w:eastAsia="黑体" w:cs="Times New Roman"/>
      <w:color w:val="252525"/>
      <w:sz w:val="30"/>
      <w:szCs w:val="30"/>
      <w:lang w:val="en-US" w:eastAsia="zh-CN"/>
    </w:rPr>
  </w:style>
  <w:style w:type="character" w:customStyle="1" w:styleId="58">
    <w:name w:val="着重标题"/>
    <w:basedOn w:val="36"/>
    <w:qFormat/>
    <w:uiPriority w:val="0"/>
    <w:rPr>
      <w:rFonts w:ascii="黑体" w:hAnsi="黑体" w:eastAsia="黑体" w:cs="Times New Roman"/>
      <w:color w:val="252525"/>
      <w:sz w:val="30"/>
      <w:szCs w:val="30"/>
      <w:lang w:val="en-US" w:eastAsia="zh-CN"/>
    </w:rPr>
  </w:style>
  <w:style w:type="paragraph" w:customStyle="1" w:styleId="59">
    <w:name w:val="主送对象"/>
    <w:next w:val="3"/>
    <w:qFormat/>
    <w:uiPriority w:val="0"/>
    <w:pPr>
      <w:adjustRightInd w:val="0"/>
      <w:snapToGrid w:val="0"/>
      <w:spacing w:line="576" w:lineRule="exact"/>
    </w:pPr>
    <w:rPr>
      <w:rFonts w:hint="eastAsia" w:ascii="仿宋" w:hAnsi="仿宋" w:eastAsia="仿宋" w:cs="Times New Roman"/>
      <w:color w:val="auto"/>
      <w:sz w:val="32"/>
      <w:szCs w:val="32"/>
      <w:lang w:val="en-US" w:eastAsia="zh-CN" w:bidi="ar-SA"/>
    </w:rPr>
  </w:style>
  <w:style w:type="paragraph" w:customStyle="1" w:styleId="60">
    <w:name w:val="表格标题"/>
    <w:next w:val="1"/>
    <w:qFormat/>
    <w:uiPriority w:val="0"/>
    <w:pPr>
      <w:overflowPunct w:val="0"/>
      <w:topLinePunct/>
      <w:jc w:val="center"/>
    </w:pPr>
    <w:rPr>
      <w:rFonts w:hint="eastAsia" w:ascii="仿宋" w:hAnsi="仿宋" w:eastAsia="仿宋" w:cs="Times New Roman"/>
      <w:color w:val="252525"/>
      <w:spacing w:val="-6"/>
      <w:sz w:val="32"/>
      <w:szCs w:val="32"/>
      <w:lang w:val="en-US" w:eastAsia="zh-CN" w:bidi="ar-SA"/>
    </w:rPr>
  </w:style>
  <w:style w:type="character" w:customStyle="1" w:styleId="61">
    <w:name w:val="摘要"/>
    <w:basedOn w:val="36"/>
    <w:qFormat/>
    <w:uiPriority w:val="0"/>
    <w:rPr>
      <w:rFonts w:hint="eastAsia" w:ascii="黑体" w:hAnsi="黑体" w:eastAsia="黑体"/>
      <w:color w:val="252525"/>
      <w:sz w:val="30"/>
      <w:szCs w:val="30"/>
      <w:lang w:val="en-US" w:eastAsia="zh-CN"/>
    </w:rPr>
  </w:style>
  <w:style w:type="character" w:customStyle="1" w:styleId="62">
    <w:name w:val="关键词"/>
    <w:basedOn w:val="36"/>
    <w:qFormat/>
    <w:uiPriority w:val="0"/>
    <w:rPr>
      <w:rFonts w:hint="eastAsia" w:ascii="黑体" w:hAnsi="黑体" w:eastAsia="黑体"/>
      <w:color w:val="252525"/>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56babe8b-46e6-4502-ac57-7bca4a6bad26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57BB82AC</paraID>
      <start>14</start>
      <end>15</end>
      <status>modified</status>
      <modifiedWord>—</modifiedWord>
      <trackRevisions>false</trackRevisions>
    </reviewItem>
    <reviewItem>
      <errorID>260f025d-b52d-42db-840d-92f38dcb52ac</errorID>
      <errorWord>十四五”期间</errorWord>
      <group>L1_Word</group>
      <groupName>字词问题</groupName>
      <ability>L2_Typo</ability>
      <abilityName>字词错误</abilityName>
      <candidateList>
        <item>“十四五”期间</item>
      </candidateList>
      <explain/>
      <paraID>5C0AF671</paraID>
      <start>0</start>
      <end>7</end>
      <status>modified</status>
      <modifiedWord>“十四五”期间</modifiedWord>
      <trackRevisions>false</trackRevisions>
    </reviewItem>
    <reviewItem>
      <errorID>7e8d6e8d-90f3-48e5-b4c0-b699a35a2c4b</errorID>
      <errorWord>灾</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5C2C2729</paraID>
      <start>0</start>
      <end>1</end>
      <status>ignored</status>
      <modifiedWord/>
      <trackRevisions>false</trackRevisions>
    </reviewItem>
    <reviewItem>
      <errorID>9a19a344-2b93-4973-b190-c1caeb1e0706</errorID>
      <errorWord>灾</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1FEF15BC</paraID>
      <start>0</start>
      <end>1</end>
      <status>ignored</status>
      <modifiedWord/>
      <trackRevisions>false</trackRevisions>
    </reviewItem>
    <reviewItem>
      <errorID>93f26c54-e585-4b1f-94df-346895b160f6</errorID>
      <errorWord>％</errorWord>
      <group>L1_Format</group>
      <groupName>格式问题</groupName>
      <ability>L2_HalfPunc</ability>
      <abilityName>全半角检查</abilityName>
      <candidateList>
        <item>%</item>
      </candidateList>
      <explain>文本全半角错误。</explain>
      <paraID>18EC31A7</paraID>
      <start>3</start>
      <end>4</end>
      <status>modified</status>
      <modifiedWord>%</modifiedWord>
      <trackRevisions>false</trackRevisions>
    </reviewItem>
    <reviewItem>
      <errorID>65fe7cc9-f847-4bc8-83dd-7253dfc4623a</errorID>
      <errorWord>％</errorWord>
      <group>L1_Format</group>
      <groupName>格式问题</groupName>
      <ability>L2_HalfPunc</ability>
      <abilityName>全半角检查</abilityName>
      <candidateList>
        <item>%</item>
      </candidateList>
      <explain>文本全半角错误。</explain>
      <paraID> E1CCCB9</paraID>
      <start>3</start>
      <end>4</end>
      <status>modified</status>
      <modifiedWord>%</modifiedWord>
      <trackRevisions>false</trackRevisions>
    </reviewItem>
    <reviewItem>
      <errorID>e54011cd-a1f1-4760-a75e-661c63d7a8a3</errorID>
      <errorWord>人民至上、生命之上</errorWord>
      <group>L1_Political</group>
      <groupName>政治性问题</groupName>
      <ability>L2_Keyword</ability>
      <abilityName>固定表述</abilityName>
      <candidateList>
        <item>人民至上、生命至上</item>
      </candidateList>
      <explain>词汇“人民至上、生命至上”在特定场景下为固定表述形式，请确认此处的“人民至上、生命之上”是否存在不当。</explain>
      <paraID>  152D29</paraID>
      <start>18</start>
      <end>27</end>
      <status>ignored</status>
      <modifiedWord/>
      <trackRevisions>false</trackRevisions>
    </reviewItem>
    <reviewItem>
      <errorID>231f17e6-d35b-4758-b54b-aa2c9141e8b4</errorID>
      <errorWord>位</errorWord>
      <group>L1_Word</group>
      <groupName>字词问题</groupName>
      <ability>L2_Typo</ability>
      <abilityName>字词错误</abilityName>
      <candidateList>
        <item>位要</item>
      </candidateList>
      <explain/>
      <paraID>24D3E796</paraID>
      <start>19</start>
      <end>21</end>
      <status>modified</status>
      <modifiedWord>位要</modifiedWord>
      <trackRevisions>false</trackRevisions>
    </reviewItem>
    <reviewItem>
      <errorID>fc8c4159-e68f-48c9-9794-a907b0affac6</errorID>
      <errorWord>，</errorWord>
      <group>L1_Word</group>
      <groupName>字词问题</groupName>
      <ability>L2_Typo</ability>
      <abilityName>字词错误</abilityName>
      <candidateList>
        <item>，对</item>
      </candidateList>
      <explain/>
      <paraID>623BFEBF</paraID>
      <start>145</start>
      <end>146</end>
      <status>ignored</status>
      <modifiedWord/>
      <trackRevisions>false</trackRevisions>
    </reviewItem>
    <reviewItem>
      <errorID>426e2d85-1467-4fea-bf52-3bd3d667ef74</errorID>
      <errorWord>万平米</errorWord>
      <group>L1_Word</group>
      <groupName>字词问题</groupName>
      <ability>L2_Typo</ability>
      <abilityName>字词错误</abilityName>
      <candidateList>
        <item>万平方米</item>
      </candidateList>
      <explain/>
      <paraID>60420286</paraID>
      <start>62</start>
      <end>66</end>
      <status>modified</status>
      <modifiedWord>万平方米</modifiedWord>
      <trackRevisions>false</trackRevisions>
    </reviewItem>
    <reviewItem>
      <errorID>47259491-81b9-4bbb-b4ad-57585b6da63e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26F9D5B1</paraID>
      <start>93</start>
      <end>95</end>
      <status>modified</status>
      <modifiedWord>”“</modifiedWord>
      <trackRevisions>false</trackRevisions>
    </reviewItem>
    <reviewItem>
      <errorID>a1de9ded-a792-4eeb-a914-9534d3d88c15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26F9D5B1</paraID>
      <start>104</start>
      <end>106</end>
      <status>modified</status>
      <modifiedWord>”“</modifiedWord>
      <trackRevisions>false</trackRevisions>
    </reviewItem>
    <reviewItem>
      <errorID>0171d906-574c-409a-8152-e099051cc5b2</errorID>
      <errorWord>升</errorWord>
      <group>L1_Word</group>
      <groupName>字词问题</groupName>
      <ability>L2_Typo</ability>
      <abilityName>字词错误</abilityName>
      <candidateList>
        <item>升了</item>
      </candidateList>
      <explain/>
      <paraID>5781F25F</paraID>
      <start>114</start>
      <end>116</end>
      <status>modified</status>
      <modifiedWord>升了</modifiedWord>
      <trackRevisions>false</trackRevisions>
    </reviewItem>
    <reviewItem>
      <errorID>1cfe8f6d-0f37-49b2-a7cf-ecbe2ccc39e5</errorID>
      <errorWord>县委、政府</errorWord>
      <group>L1_Political</group>
      <groupName>政治性问题</groupName>
      <ability>L2_Unpolitical</ability>
      <abilityName>政治敏感错误</abilityName>
      <candidateList>
        <item>县委、县政府</item>
      </candidateList>
      <explain/>
      <paraID>7B048BD9</paraID>
      <start>22</start>
      <end>28</end>
      <status>modified</status>
      <modifiedWord>县委、县政府</modifiedWord>
      <trackRevisions>false</trackRevisions>
    </reviewItem>
    <reviewItem>
      <errorID>9a1b1004-164a-44cb-990d-7cf7ddc1f75d</errorID>
      <errorWord>大</errorWord>
      <group>L1_Word</group>
      <groupName>字词问题</groupName>
      <ability>L2_Typo</ability>
      <abilityName>字词错误</abilityName>
      <candidateList>
        <item>大地</item>
      </candidateList>
      <explain/>
      <paraID>5E9D1802</paraID>
      <start>88</start>
      <end>90</end>
      <status>modified</status>
      <modifiedWord>大地</modifiedWord>
      <trackRevisions>false</trackRevisions>
    </reviewItem>
    <reviewItem>
      <errorID>6c85db30-05ed-4d94-b4e5-f0a209288404</errorID>
      <errorWord>应急物质</errorWord>
      <group>L1_Word</group>
      <groupName>字词问题</groupName>
      <ability>L2_Typo</ability>
      <abilityName>字词错误</abilityName>
      <candidateList>
        <item>应急物资</item>
      </candidateList>
      <explain/>
      <paraID>7251FF2C</paraID>
      <start>0</start>
      <end>4</end>
      <status>modified</status>
      <modifiedWord>应急物资</modifiedWord>
      <trackRevisions>false</trackRevisions>
    </reviewItem>
    <reviewItem>
      <errorID>b1641372-d24e-4f4e-a23e-33a9d2ce99b5</errorID>
      <errorWord>，</errorWord>
      <group>L1_Word</group>
      <groupName>字词问题</groupName>
      <ability>L2_Typo</ability>
      <abilityName>字词错误</abilityName>
      <candidateList>
        <item>，为</item>
      </candidateList>
      <explain/>
      <paraID>66B4C223</paraID>
      <start>142</start>
      <end>144</end>
      <status>modified</status>
      <modifiedWord>，为</modifiedWord>
      <trackRevisions>false</trackRevisions>
    </reviewItem>
    <reviewItem>
      <errorID>bde2506a-b147-45f4-b133-a7f15bccd242</errorID>
      <errorWord>十五五时期</errorWord>
      <group>L1_Word</group>
      <groupName>字词问题</groupName>
      <ability>L2_Typo</ability>
      <abilityName>字词错误</abilityName>
      <candidateList>
        <item>“十五五”时期</item>
      </candidateList>
      <explain/>
      <paraID>38A81264</paraID>
      <start>0</start>
      <end>7</end>
      <status>modified</status>
      <modifiedWord>“十五五”时期</modifiedWord>
      <trackRevisions>false</trackRevisions>
    </reviewItem>
    <reviewItem>
      <errorID>1dd9cff1-b956-486a-963f-9e69e73f9a99</errorID>
      <errorWord>(</errorWord>
      <group>L1_Format</group>
      <groupName>格式问题</groupName>
      <ability>L2_HalfPunc</ability>
      <abilityName>全半角检查</abilityName>
      <candidateList>
        <item>（</item>
      </candidateList>
      <explain>文本全半角错误。</explain>
      <paraID> 51CB42D</paraID>
      <start>4</start>
      <end>5</end>
      <status>modified</status>
      <modifiedWord>（</modifiedWord>
      <trackRevisions>false</trackRevisions>
    </reviewItem>
    <reviewItem>
      <errorID>5fdd9568-544a-45eb-baa5-2e92d0bccec2</errorID>
      <errorWord>)</errorWord>
      <group>L1_Format</group>
      <groupName>格式问题</groupName>
      <ability>L2_HalfPunc</ability>
      <abilityName>全半角检查</abilityName>
      <candidateList>
        <item>）</item>
      </candidateList>
      <explain>文本全半角错误。</explain>
      <paraID> 51CB42D</paraID>
      <start>8</start>
      <end>9</end>
      <status>modified</status>
      <modifiedWord>）</modifiedWord>
      <trackRevisions>false</trackRevisions>
    </reviewItem>
    <reviewItem>
      <errorID>3bde04ee-631b-4faf-b6fc-8d8a5f531e02</errorID>
      <errorWord>(</errorWord>
      <group>L1_Format</group>
      <groupName>格式问题</groupName>
      <ability>L2_HalfPunc</ability>
      <abilityName>全半角检查</abilityName>
      <candidateList>
        <item>（</item>
      </candidateList>
      <explain>文本全半角错误。</explain>
      <paraID>3DFDB462</paraID>
      <start>4</start>
      <end>5</end>
      <status>modified</status>
      <modifiedWord>（</modifiedWord>
      <trackRevisions>false</trackRevisions>
    </reviewItem>
    <reviewItem>
      <errorID>ac746620-64e0-4d5f-94e1-7ec804d3c56b</errorID>
      <errorWord>)</errorWord>
      <group>L1_Format</group>
      <groupName>格式问题</groupName>
      <ability>L2_HalfPunc</ability>
      <abilityName>全半角检查</abilityName>
      <candidateList>
        <item>）</item>
      </candidateList>
      <explain>文本全半角错误。</explain>
      <paraID>3DFDB462</paraID>
      <start>8</start>
      <end>9</end>
      <status>modified</status>
      <modifiedWord>）</modifiedWord>
      <trackRevisions>false</trackRevisions>
    </reviewItem>
    <reviewItem>
      <errorID>e5c968aa-d8a4-4c06-a4d8-09f8d298beb8</errorID>
      <errorWord>(</errorWord>
      <group>L1_Format</group>
      <groupName>格式问题</groupName>
      <ability>L2_HalfPunc</ability>
      <abilityName>全半角检查</abilityName>
      <candidateList>
        <item>（</item>
      </candidateList>
      <explain>文本全半角错误。</explain>
      <paraID>5B86E901</paraID>
      <start>4</start>
      <end>5</end>
      <status>modified</status>
      <modifiedWord>（</modifiedWord>
      <trackRevisions>false</trackRevisions>
    </reviewItem>
    <reviewItem>
      <errorID>ea589296-dc41-404e-b127-2ea65f036cc9</errorID>
      <errorWord>)</errorWord>
      <group>L1_Format</group>
      <groupName>格式问题</groupName>
      <ability>L2_HalfPunc</ability>
      <abilityName>全半角检查</abilityName>
      <candidateList>
        <item>）</item>
      </candidateList>
      <explain>文本全半角错误。</explain>
      <paraID>5B86E901</paraID>
      <start>8</start>
      <end>9</end>
      <status>modified</status>
      <modifiedWord>）</modifiedWord>
      <trackRevisions>false</trackRevisions>
    </reviewItem>
    <reviewItem>
      <errorID>2adb6459-598e-4506-8a27-41cb1d8bbf97</errorID>
      <errorWord>(</errorWord>
      <group>L1_Format</group>
      <groupName>格式问题</groupName>
      <ability>L2_HalfPunc</ability>
      <abilityName>全半角检查</abilityName>
      <candidateList>
        <item>（</item>
      </candidateList>
      <explain>文本全半角错误。</explain>
      <paraID>16AF0DF0</paraID>
      <start>1</start>
      <end>2</end>
      <status>modified</status>
      <modifiedWord>（</modifiedWord>
      <trackRevisions>false</trackRevisions>
    </reviewItem>
    <reviewItem>
      <errorID>21a01ac2-c33f-435d-8a3f-9c64678fc705</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537809B5</paraID>
      <start>64</start>
      <end>71</end>
      <status>modified</status>
      <modifiedWord>森林草原防灭火</modifiedWord>
      <trackRevisions>false</trackRevisions>
    </reviewItem>
    <reviewItem>
      <errorID>227ed472-9f58-4af5-90b3-3bad92481f88</errorID>
      <errorWord>一岗双责</errorWord>
      <group>L1_Political</group>
      <groupName>政治性问题</groupName>
      <ability>L2_Keyword</ability>
      <abilityName>固定表述</abilityName>
      <candidateList>
        <item>‘一岗双责’</item>
      </candidateList>
      <explain>注意检查当前固定表述标点是否使用规范。</explain>
      <paraID>32E69313</paraID>
      <start>8</start>
      <end>12</end>
      <status>ignored</status>
      <modifiedWord/>
      <trackRevisions>false</trackRevisions>
    </reviewItem>
    <reviewItem>
      <errorID>2ccaa52d-6468-403f-830e-05846c47676b</errorID>
      <errorWord>《安全生产法》</errorWord>
      <group>L1_Word</group>
      <groupName>字词问题</groupName>
      <ability>L2_Typo</ability>
      <abilityName>字词错误</abilityName>
      <candidateList>
        <item>《中华人民共和国安全生产法》</item>
      </candidateList>
      <explain/>
      <paraID>32E69313</paraID>
      <start>47</start>
      <end>61</end>
      <status>modified</status>
      <modifiedWord>《中华人民共和国安全生产法》</modifiedWord>
      <trackRevisions>false</trackRevisions>
    </reviewItem>
    <reviewItem>
      <errorID>e3aac41b-ea8f-4024-9c27-0b39fe7a4dd1</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32E69313</paraID>
      <start>105</start>
      <end>110</end>
      <status>modified</status>
      <modifiedWord>党委、政府</modifiedWord>
      <trackRevisions>false</trackRevisions>
    </reviewItem>
    <reviewItem>
      <errorID>a1c9506f-3486-46f8-9ec1-0a44e14c1180</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19524DAE</paraID>
      <start>192</start>
      <end>197</end>
      <status>modified</status>
      <modifiedWord>党委、政府</modifiedWord>
      <trackRevisions>false</trackRevisions>
    </reviewItem>
    <reviewItem>
      <errorID>dd9a0b79-130e-414b-bcab-9fe7698d935e</errorID>
      <errorWord>万</errorWord>
      <group>L1_Word</group>
      <groupName>字词问题</groupName>
      <ability>L2_Typo</ability>
      <abilityName>字词错误</abilityName>
      <candidateList>
        <item>万元</item>
      </candidateList>
      <explain/>
      <paraID>5379F1ED</paraID>
      <start>49</start>
      <end>51</end>
      <status>modified</status>
      <modifiedWord>万元</modifiedWord>
      <trackRevisions>false</trackRevisions>
    </reviewItem>
    <reviewItem>
      <errorID>b9d5259c-9092-44ae-bdec-1384474ee6c8</errorID>
      <errorWord>森林草原防火</errorWord>
      <group>L1_Political</group>
      <groupName>政治性问题</groupName>
      <ability>L2_Keyword</ability>
      <abilityName>固定表述</abilityName>
      <candidateList>
        <item>森林草原防灭火</item>
      </candidateList>
      <explain>词汇“森林草原防灭火”在特定场景下为固定表述形式，请确认此处的“森林草原防火”是否存在不当。</explain>
      <paraID> E2F1B90</paraID>
      <start>149</start>
      <end>156</end>
      <status>modified</status>
      <modifiedWord>森林草原防灭火</modifiedWord>
      <trackRevisions>false</trackRevisions>
    </reviewItem>
    <reviewItem>
      <errorID>b86a4fb8-055e-4c0c-af7f-75751e752cd0</errorID>
      <errorWord>在十五五期间</errorWord>
      <group>L1_Word</group>
      <groupName>字词问题</groupName>
      <ability>L2_Typo</ability>
      <abilityName>字词错误</abilityName>
      <candidateList>
        <item>在“十五五”期间</item>
      </candidateList>
      <explain/>
      <paraID>5B330359</paraID>
      <start>4</start>
      <end>12</end>
      <status>modified</status>
      <modifiedWord>在“十五五”期间</modifiedWord>
      <trackRevisions>false</trackRevisions>
    </reviewItem>
    <reviewItem>
      <errorID>c16cfce3-5661-41a0-bd98-1d45a3821580</errorID>
      <errorWord>万</errorWord>
      <group>L1_Word</group>
      <groupName>字词问题</groupName>
      <ability>L2_Typo</ability>
      <abilityName>字词错误</abilityName>
      <candidateList>
        <item>万元</item>
      </candidateList>
      <explain/>
      <paraID>7E4763D7</paraID>
      <start>72</start>
      <end>74</end>
      <status>modified</status>
      <modifiedWord>万元</modifiedWord>
      <trackRevisions>false</trackRevisions>
    </reviewItem>
    <reviewItem>
      <errorID>3fd6d951-cac6-4a90-bb13-b15e2a686051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1B6D224D</paraID>
      <start>25</start>
      <end>27</end>
      <status>modified</status>
      <modifiedWord>”“</modifiedWord>
      <trackRevisions>false</trackRevisions>
    </reviewItem>
    <reviewItem>
      <errorID>5153a2ae-a268-4436-9086-30cca56dd2ac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1B6D224D</paraID>
      <start>38</start>
      <end>40</end>
      <status>modified</status>
      <modifiedWord>”“</modifiedWord>
      <trackRevisions>false</trackRevisions>
    </reviewItem>
    <reviewItem>
      <errorID>b79a9f50-d00d-4a92-8557-c8f91a32e8c7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1B6D224D</paraID>
      <start>47</start>
      <end>49</end>
      <status>modified</status>
      <modifiedWord>”“</modifiedWord>
      <trackRevisions>false</trackRevisions>
    </reviewItem>
    <reviewItem>
      <errorID>2dabe106-bf7d-4d84-b0ca-f67bc5cfa266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1B6D224D</paraID>
      <start>58</start>
      <end>60</end>
      <status>modified</status>
      <modifiedWord>”“</modifiedWord>
      <trackRevisions>false</trackRevisions>
    </reviewItem>
    <reviewItem>
      <errorID>4d94a79c-740c-4b4d-b420-b48c31d04ef2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1B6D224D</paraID>
      <start>67</start>
      <end>69</end>
      <status>modified</status>
      <modifiedWord>”“</modifiedWord>
      <trackRevisions>false</trackRevisions>
    </reviewItem>
    <reviewItem>
      <errorID>b26c3364-4e4a-4417-b6f9-252cfca1f3bc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1B6D224D</paraID>
      <start>78</start>
      <end>80</end>
      <status>modified</status>
      <modifiedWord>”“</modifiedWord>
      <trackRevisions>false</trackRevisions>
    </reviewItem>
    <reviewItem>
      <errorID>bcfc3cf7-2de4-498d-b222-6b208a225b8b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1B6D224D</paraID>
      <start>89</start>
      <end>91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2dc2e6-6fc6-4849-bd1d-0f128957d51a}">
  <ds:schemaRefs/>
</ds:datastoreItem>
</file>

<file path=docProps/app.xml><?xml version="1.0" encoding="utf-8"?>
<Properties xmlns="http://schemas.openxmlformats.org/officeDocument/2006/extended-properties" xmlns:vt="http://schemas.openxmlformats.org/officeDocument/2006/docPropsVTypes">
  <Template>Normal.dotm</Template>
  <Pages>99</Pages>
  <Words>37996</Words>
  <Characters>38541</Characters>
  <Lines>0</Lines>
  <Paragraphs>0</Paragraphs>
  <TotalTime>151</TotalTime>
  <ScaleCrop>false</ScaleCrop>
  <LinksUpToDate>false</LinksUpToDate>
  <CharactersWithSpaces>40237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2025-10-22T02:06:00Z</dcterms:created>
  <dc:creator>admin</dc:creator>
  <cp:lastModifiedBy>夏龙梅</cp:lastModifiedBy>
  <cp:lastPrinted>2026-04-30T12:09:00Z</cp:lastPrinted>
  <dcterms:modified xsi:type="dcterms:W3CDTF">2026-07-30T09:30:18Z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2B6F63D344684F0DAAA8B9613A021E64_13</vt:lpwstr>
  </property>
  <property fmtid="{D5CDD505-2E9C-101B-9397-08002B2CF9AE}" pid="4" name="KSOTemplateDocerSaveRecord">
    <vt:lpwstr>eyJoZGlkIjoiYmU1MGFkZTViMTk2ZGZlOWQ5MTU2ZTgyZmI2YTQyYjQiLCJ1c2VySWQiOiIzNTQzNTcxMzAifQ==</vt:lpwstr>
  </property>
</Properties>
</file>