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墨玉县普恰克其乡中心小学</w:t>
      </w: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both"/>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widowControl/>
        <w:spacing w:line="600" w:lineRule="exact"/>
        <w:ind w:firstLine="883" w:firstLineChars="200"/>
        <w:jc w:val="both"/>
        <w:outlineLvl w:val="1"/>
        <w:rPr>
          <w:rFonts w:ascii="宋体" w:hAnsi="宋体"/>
          <w:b/>
          <w:kern w:val="0"/>
          <w:sz w:val="44"/>
          <w:szCs w:val="44"/>
        </w:rPr>
      </w:pP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一、关于墨玉县普恰克其乡中心小学单位2025年收支预算情况的总体说明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二、关于墨玉县普恰克其乡中心小学单位2025年收入预算情况说明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三、关于墨玉县普恰克其乡中心小学单位2025年支出预算情况说明</w:t>
      </w:r>
    </w:p>
    <w:p>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四、关于墨玉县普恰克其乡中心小学单位2025年财政拨款收支预算情况的总体说明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五、关于墨玉县普恰克其乡中心小学单位2025年一般公共预算当年拨款情况说明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六、关于墨玉县普恰克其乡中心小学单位2025年一般公共预算基本支出情况说明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七、关于墨玉县普恰克其乡中心小学单位2025年一般公共预算项目支出情况说明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八、关于墨玉县普恰克其乡中心小学单位2025年政府性基金预算拨款情况说明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九、关于墨玉县普恰克其乡中心小学单位2025年国有资本经营预算拨款情况说明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十、关于墨玉县普恰克其乡中心小学单位2025年财政拨款“三公”经费预算情况说明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十一、关于墨玉县普恰克其乡中心小学单位2025年上年结转结余预算情况说明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教育教学</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教学管理：制定教学计划、安排课程表、组织教学活动，确保教学工作的有序进行。</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教学实施：教师通过课堂教学、实验教学、实践教学等多种方式，向学生传授知识和技能，培养学生的学习能力和创新思维。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教学评价：通过考试、作业、测评等方式对学生的学习成果进行评价，同时对教师的教学质量进行评估，以促进教学质量的不断提高。</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人才培养</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品德培养：通过德育课程、主题活动、校园文化等途径，培养学生良好的道德品质和行为习惯，树立正确的世界观、人生观和价值观。</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能力培养：注重培养学生的综合能力，如沟通能力、团队协作能力、实践能力、解决问题的能力等，以适应社会发展的需求。</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教育研究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教育教学方法研究：探索新的教学方法、教学模式和教育技术，以提高教学效果和教育质量。</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学生发展研究：关注学生的身心发展规律和特点，研究如何更好地满足学生的个性化需求，促进学生的全面发展。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服务保障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后勤服务：提供餐饮、住宿、卫生、维修等后勤保障服务，为师生创造良好的学习和工作环境。</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安全管理：加强校园安全管理，包括设施设备安全、食品安全、消防安全、校园周边安全等，确保师生的人身安全和学校的正常秩序。</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文化建设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校园文化营造：通过校园环境建设、文化活动开展、校训校风传承等方式，营造积极向上、富有特色的校园文化氛围，增强师生的归属感和凝聚力。</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文化传承与创新：传承和弘扬优秀传统文化、地域文化，同时鼓励师生在学术研究、艺术创作等方面进行创新，推动文化的发展和繁荣。</w:t>
      </w: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墨玉县普恰克其乡中心小学单位无下属预算单位，下设3个处室，分别是：德育办公室、总务室、教务科</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墨玉县普恰克其乡中心小学单位编制数410</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，实有人数495人，其中：在职418人，增加0人；退休77人，增加0人；离休0人，减少0人。</w:t>
      </w:r>
    </w:p>
    <w:p>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2" w:type="dxa"/>
            <w:gridSpan w:val="5"/>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308"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8017.28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7923.59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7577.74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345.85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8016.94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93.35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93.35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8017.28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8017.28</w:t>
            </w:r>
          </w:p>
        </w:tc>
      </w:tr>
    </w:tbl>
    <w:p>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3889"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8016.94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7923.59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7577.74</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345.85</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93.35</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8016.94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7923.59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7577.74</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345.85</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93.35</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8016.94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7923.59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7577.74</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345.85</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93.35</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60</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60</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用于教育事业的彩票公益金支出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0.34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0.34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0.34</w:t>
            </w: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8017.28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7923.93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7577.74</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345.85</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93.35</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bl>
    <w:p>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710" w:type="dxa"/>
            <w:gridSpan w:val="8"/>
            <w:tcBorders>
              <w:top w:val="nil"/>
              <w:left w:val="nil"/>
              <w:bottom w:val="nil"/>
              <w:right w:val="nil"/>
            </w:tcBorders>
          </w:tcPr>
          <w:p>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编制单位：墨玉县普恰克其乡中心小学</w:t>
            </w:r>
          </w:p>
        </w:tc>
        <w:tc>
          <w:tcPr>
            <w:tcW w:w="1300" w:type="dxa"/>
            <w:tcBorders>
              <w:top w:val="nil"/>
              <w:left w:val="nil"/>
              <w:bottom w:val="nil"/>
              <w:right w:val="nil"/>
            </w:tcBorders>
          </w:tcPr>
          <w:p>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8016.94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7577.74</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439.20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8016.94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7577.74</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439.20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8016.94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7577.74</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439.20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0.34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0.34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60</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彩票公益金安排的支出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0.34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0.34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60</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用于教育事业的彩票公益金支出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0.34</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0.34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8017.28</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7577.74</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439.54</w:t>
            </w:r>
          </w:p>
        </w:tc>
      </w:tr>
    </w:tbl>
    <w:p>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808" w:type="dxa"/>
            <w:gridSpan w:val="3"/>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7923.93</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7923.59</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0.34</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7923.59</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7923.59</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0.34</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0.34</w:t>
            </w: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7923.93</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7923.93</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7923.59</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0.34</w:t>
            </w: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915"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307"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tblPrEx>
          <w:tblLayout w:type="fixed"/>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tblPrEx>
          <w:tblLayout w:type="fixed"/>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7923.59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7577.74</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345.85</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7923.59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7577.74</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345.85</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7923.59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7577.74</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345.85</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7923.59</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7577.74</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345.85</w:t>
            </w: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26"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30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tblPrEx>
          <w:tblLayout w:type="fixed"/>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tblPrEx>
          <w:tblLayout w:type="fixed"/>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7466.90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7466.90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1658.71</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1658.71</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1749.58</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1749.58</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1155.83</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1155.83</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1145.60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1145.60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798.46</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798.46</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324.38</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324.38</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35.49</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35.49</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598.85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598.85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110.84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110.84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110.84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110.84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7577.74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7577.74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bl>
    <w:p>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2720"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pPr>
              <w:jc w:val="center"/>
              <w:rPr>
                <w:sz w:val="20"/>
                <w:szCs w:val="20"/>
              </w:rPr>
            </w:pPr>
          </w:p>
        </w:tc>
        <w:tc>
          <w:tcPr>
            <w:tcW w:w="2170" w:type="dxa"/>
            <w:vMerge w:val="continue"/>
            <w:shd w:val="clear" w:color="auto" w:fill="auto"/>
            <w:vAlign w:val="center"/>
          </w:tcPr>
          <w:p>
            <w:pPr>
              <w:jc w:val="center"/>
              <w:rPr>
                <w:sz w:val="20"/>
                <w:szCs w:val="20"/>
              </w:rPr>
            </w:pPr>
          </w:p>
        </w:tc>
        <w:tc>
          <w:tcPr>
            <w:tcW w:w="950" w:type="dxa"/>
            <w:vMerge w:val="continue"/>
            <w:shd w:val="clear" w:color="auto" w:fill="auto"/>
            <w:vAlign w:val="center"/>
          </w:tcPr>
          <w:p>
            <w:pPr>
              <w:jc w:val="center"/>
              <w:rPr>
                <w:sz w:val="20"/>
                <w:szCs w:val="20"/>
              </w:rPr>
            </w:pPr>
          </w:p>
        </w:tc>
        <w:tc>
          <w:tcPr>
            <w:tcW w:w="720" w:type="dxa"/>
            <w:vMerge w:val="continue"/>
            <w:shd w:val="clear" w:color="auto" w:fill="auto"/>
            <w:vAlign w:val="center"/>
          </w:tcPr>
          <w:p>
            <w:pPr>
              <w:jc w:val="center"/>
              <w:rPr>
                <w:sz w:val="20"/>
                <w:szCs w:val="20"/>
              </w:rPr>
            </w:pPr>
          </w:p>
        </w:tc>
        <w:tc>
          <w:tcPr>
            <w:tcW w:w="820" w:type="dxa"/>
            <w:vMerge w:val="continue"/>
            <w:shd w:val="clear" w:color="auto" w:fill="auto"/>
            <w:vAlign w:val="center"/>
          </w:tcPr>
          <w:p>
            <w:pPr>
              <w:jc w:val="center"/>
              <w:rPr>
                <w:sz w:val="20"/>
                <w:szCs w:val="20"/>
              </w:rPr>
            </w:pPr>
          </w:p>
        </w:tc>
        <w:tc>
          <w:tcPr>
            <w:tcW w:w="67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0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90" w:type="dxa"/>
            <w:vMerge w:val="continue"/>
            <w:shd w:val="clear" w:color="auto" w:fill="auto"/>
          </w:tcPr>
          <w:p>
            <w:pPr>
              <w:jc w:val="center"/>
              <w:rPr>
                <w:sz w:val="20"/>
                <w:szCs w:val="20"/>
              </w:rPr>
            </w:pPr>
          </w:p>
        </w:tc>
        <w:tc>
          <w:tcPr>
            <w:tcW w:w="640" w:type="dxa"/>
            <w:vMerge w:val="continue"/>
            <w:shd w:val="clear" w:color="auto" w:fill="auto"/>
            <w:vAlign w:val="center"/>
          </w:tcPr>
          <w:p>
            <w:pPr>
              <w:jc w:val="center"/>
              <w:rPr>
                <w:sz w:val="20"/>
                <w:szCs w:val="20"/>
              </w:rPr>
            </w:pPr>
          </w:p>
        </w:tc>
        <w:tc>
          <w:tcPr>
            <w:tcW w:w="700" w:type="dxa"/>
            <w:vMerge w:val="continue"/>
            <w:shd w:val="clear" w:color="auto" w:fill="auto"/>
          </w:tcPr>
          <w:p>
            <w:pPr>
              <w:jc w:val="center"/>
              <w:rPr>
                <w:sz w:val="20"/>
                <w:szCs w:val="20"/>
              </w:rPr>
            </w:pPr>
          </w:p>
        </w:tc>
        <w:tc>
          <w:tcPr>
            <w:tcW w:w="620" w:type="dxa"/>
            <w:vMerge w:val="continue"/>
            <w:shd w:val="clear" w:color="auto" w:fill="auto"/>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345.85</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42.61</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303.24</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345.85</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42.61</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303.24</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65.56</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65.56</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2024年义务教育特教阶段公用经费（第二批中央直达资金）（和地财教</w:t>
            </w:r>
            <w:r>
              <w:rPr>
                <w:rFonts w:hint="eastAsia" w:ascii="仿宋_GB2312" w:hAnsi="宋体" w:eastAsia="仿宋_GB2312" w:cs="宋体"/>
                <w:kern w:val="0"/>
                <w:sz w:val="18"/>
                <w:szCs w:val="18"/>
                <w:lang w:eastAsia="zh-CN"/>
              </w:rPr>
              <w:t>〔2024〕18号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0.14</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0.14</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0.44</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0.44</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〔2024〕23号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0.95</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0.95</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义务教育小学阶段公用经费（中央直达资金）（墨财教</w:t>
            </w:r>
            <w:r>
              <w:rPr>
                <w:rFonts w:hint="eastAsia" w:ascii="仿宋_GB2312" w:hAnsi="宋体" w:eastAsia="仿宋_GB2312" w:cs="宋体"/>
                <w:kern w:val="0"/>
                <w:sz w:val="18"/>
                <w:szCs w:val="18"/>
                <w:lang w:eastAsia="zh-CN"/>
              </w:rPr>
              <w:t>〔2023〕7号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1.44</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1.44</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〔2024〕25号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127.36</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127.36</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1.82</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1.82</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2024年乡村教师生活补助资金（9-12月）（和地财教</w:t>
            </w:r>
            <w:r>
              <w:rPr>
                <w:rFonts w:hint="eastAsia" w:ascii="仿宋_GB2312" w:hAnsi="宋体" w:eastAsia="仿宋_GB2312" w:cs="宋体"/>
                <w:kern w:val="0"/>
                <w:sz w:val="18"/>
                <w:szCs w:val="18"/>
                <w:lang w:eastAsia="zh-CN"/>
              </w:rPr>
              <w:t>〔2023〕77号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〔2024〕39号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14.86</w:t>
            </w:r>
          </w:p>
        </w:tc>
        <w:tc>
          <w:tcPr>
            <w:tcW w:w="7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14.86</w:t>
            </w: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义务教育特教阶段随班就读学生公用经费（中央直达资金）（和地财教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〔2024〕9号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22.84</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22.84</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26.56</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26.56</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2024年乡村教师生活补助资金(第二批）（和地财教</w:t>
            </w:r>
            <w:r>
              <w:rPr>
                <w:rFonts w:hint="eastAsia" w:ascii="仿宋_GB2312" w:hAnsi="宋体" w:eastAsia="仿宋_GB2312" w:cs="宋体"/>
                <w:kern w:val="0"/>
                <w:sz w:val="18"/>
                <w:szCs w:val="18"/>
                <w:lang w:eastAsia="zh-CN"/>
              </w:rPr>
              <w:t>〔2024〕30号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〔2024〕61号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27.75</w:t>
            </w:r>
          </w:p>
        </w:tc>
        <w:tc>
          <w:tcPr>
            <w:tcW w:w="7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27.75</w:t>
            </w: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义务教育小学阶段公用经费（第二批中央直达资金）（墨财教</w:t>
            </w:r>
            <w:r>
              <w:rPr>
                <w:rFonts w:hint="eastAsia" w:ascii="仿宋_GB2312" w:hAnsi="宋体" w:eastAsia="仿宋_GB2312" w:cs="宋体"/>
                <w:kern w:val="0"/>
                <w:sz w:val="18"/>
                <w:szCs w:val="18"/>
                <w:lang w:eastAsia="zh-CN"/>
              </w:rPr>
              <w:t>〔2023〕33号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56.13</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56.13</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p>
        </w:tc>
        <w:tc>
          <w:tcPr>
            <w:tcW w:w="2170"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345.85</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42.61</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303.24</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bl>
    <w:p>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其他支出</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0.34</w:t>
            </w: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0.34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60</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彩票公益金安排的支出</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0.34</w:t>
            </w: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0.34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60</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w:t>
            </w: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用于教育事业的彩票公益金支出</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0.34</w:t>
            </w: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0.34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0.34</w:t>
            </w: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0.34</w:t>
            </w: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备注：墨玉县普恰克其乡中心小学2025年无国有资本经营预算安排的支出，国有资本经营预算支出情况表为空表。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4"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312"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tblPrEx>
          <w:tblLayout w:type="fixed"/>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tblPrEx>
          <w:tblLayout w:type="fixed"/>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备注：墨玉县普恰克其乡中心小学2025年无财政拨款“三公”经费预算安排，财政拨款“三公”经费支出情况表为空表。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00" w:type="dxa"/>
            <w:gridSpan w:val="9"/>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编制单位：墨玉县普恰克其乡中心小学</w:t>
            </w:r>
          </w:p>
        </w:tc>
        <w:tc>
          <w:tcPr>
            <w:tcW w:w="1300"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3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备注：墨玉县普恰克其乡中心小学2025年无上年结转结余预算安排的支出，上年结转结余情况明细表为空表。</w:t>
      </w:r>
    </w:p>
    <w:p>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pPr>
        <w:widowControl w:val="0"/>
        <w:spacing w:before="0" w:beforeLines="0" w:line="560" w:lineRule="exact"/>
        <w:jc w:val="center"/>
        <w:outlineLvl w:val="9"/>
        <w:rPr>
          <w:rFonts w:ascii="楷体_GB2312" w:hAnsi="楷体_GB2312" w:eastAsia="楷体_GB2312"/>
          <w:kern w:val="0"/>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关于墨玉县普恰克其乡中心小学单位2025年收支预算情况的总体说明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按照全口径预算的原则，墨玉县普恰克其乡中心小学单位2025年所有收入和支出均纳入单位预算管理。收支总预算8017.28万元。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支出预算包括：教育支出、其他支出。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二、关于墨玉县普恰克其乡中心小学单位2025年收入预算情况说明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墨玉县普恰克其乡中心小学单位收入预算8017.28万元，其中：</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一般公共预算7577.74万元，占94.52%，比上年预算减少155.11万元，下降2.01%，主要原因是人员变动，</w:t>
      </w:r>
      <w:r>
        <w:rPr>
          <w:rFonts w:hint="eastAsia" w:ascii="仿宋_GB2312" w:hAnsi="宋体" w:eastAsia="仿宋_GB2312" w:cs="宋体"/>
          <w:kern w:val="0"/>
          <w:sz w:val="32"/>
          <w:szCs w:val="32"/>
          <w:lang w:val="en-US" w:eastAsia="zh-CN"/>
        </w:rPr>
        <w:t>2024年</w:t>
      </w:r>
      <w:r>
        <w:rPr>
          <w:rFonts w:hint="eastAsia" w:ascii="仿宋_GB2312" w:hAnsi="宋体" w:eastAsia="仿宋_GB2312" w:cs="宋体"/>
          <w:kern w:val="0"/>
          <w:sz w:val="32"/>
          <w:szCs w:val="32"/>
        </w:rPr>
        <w:t>退休8人</w:t>
      </w:r>
      <w:r>
        <w:rPr>
          <w:rFonts w:hint="eastAsia" w:ascii="仿宋_GB2312" w:hAnsi="宋体" w:eastAsia="仿宋_GB2312" w:cs="宋体"/>
          <w:kern w:val="0"/>
          <w:sz w:val="32"/>
          <w:szCs w:val="32"/>
          <w:lang w:eastAsia="zh-CN"/>
        </w:rPr>
        <w:t>，辞职</w:t>
      </w:r>
      <w:r>
        <w:rPr>
          <w:rFonts w:hint="eastAsia" w:ascii="仿宋_GB2312" w:hAnsi="宋体" w:eastAsia="仿宋_GB2312" w:cs="宋体"/>
          <w:kern w:val="0"/>
          <w:sz w:val="32"/>
          <w:szCs w:val="32"/>
          <w:lang w:val="en-US" w:eastAsia="zh-CN"/>
        </w:rPr>
        <w:t>1人，</w:t>
      </w:r>
      <w:r>
        <w:rPr>
          <w:rFonts w:hint="eastAsia" w:ascii="仿宋_GB2312" w:hAnsi="宋体" w:eastAsia="仿宋_GB2312" w:cs="宋体"/>
          <w:color w:val="auto"/>
          <w:kern w:val="0"/>
          <w:sz w:val="32"/>
          <w:szCs w:val="32"/>
        </w:rPr>
        <w:t>在职人员减少。</w:t>
      </w:r>
      <w:r>
        <w:rPr>
          <w:rFonts w:hint="eastAsia" w:ascii="仿宋_GB2312" w:hAnsi="宋体" w:eastAsia="仿宋_GB2312" w:cs="宋体"/>
          <w:kern w:val="0"/>
          <w:sz w:val="32"/>
          <w:szCs w:val="32"/>
        </w:rPr>
        <w:t>导致一般公共预算比上年预算减少</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上级一般公共预算安排的转移支付345.85万元，占4.31%，比上年预算增加345.85万元，增长100.00%，主要原因是以前年度财政结转结余资金纳入安排一般公共预算转移支付</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上级政府性基金安排的转移支付0.34万元，占0.00%，比上年预算增加0.34万元，增长100.00%，主要原因是去年没有安排上级政府性基金</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单位资金93.35万元，占1.16%，比上年预算减少2.94万元，下降3.05%，主要原因是以前年度应付未付的资金</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财政拨款结转0.00万元，占0.00%，比上年预算减少331.27万元，下降100.00%，主要原因是今年没有财政拨款结转纳入预算</w:t>
      </w:r>
      <w:r>
        <w:rPr>
          <w:rFonts w:hint="eastAsia" w:ascii="仿宋_GB2312" w:hAnsi="宋体" w:eastAsia="仿宋_GB2312" w:cs="宋体"/>
          <w:kern w:val="0"/>
          <w:sz w:val="32"/>
          <w:szCs w:val="32"/>
          <w:lang w:eastAsia="zh-CN"/>
        </w:rPr>
        <w:t>。</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三、关于墨玉县普恰克其乡中心小学单位2025年支出预算情况说明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墨玉县普恰克其乡中心小学单位2025年支出预算8017.28万元，其中：</w:t>
      </w:r>
    </w:p>
    <w:p>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基本支出7577.74万元，占94.52%，比上年预算减少155.11万元，下降2.01%，主要原因是人员变动，退休8人导致一般公共预算比上年预算减少。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项目支出439.54万元，占5.48%，比上年预算增加11.98万元，增长2.80%，主要原因是今年学生经费标准提高。</w:t>
      </w:r>
    </w:p>
    <w:p>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四、关于墨玉县普恰克其乡中心小学单位2025年财政拨款收支预算情况的总体说明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2025年财政拨款收支总预算7923.93万元。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收入预算包括：一般公共预算拨款7923.59万元，政府性基金预算拨款0.34万元。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一般公共预算支出包括：教育支出7923.59万元，主要用于保障单位正常运行的人员经费、公用经费支出。</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政府性基金预算支出包括：其他支出0.34万元，主要用于学校的少年宫各类兴趣小组文体活动类等费用开支。</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五、关于墨玉县普恰克其乡中心小学单位2025年一般公共预算当年拨款情况说明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墨玉县普恰克其乡中心小学单位2025年一般公共预算拨款合计7923.59万元，其中：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基本支出7577.74万元，比上年预算减少155.11万元，下降2.01%。主要原因是：人员变动，退休8人导致一般公共预算比上年预算减少。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项目支出345.85万元，比上年预算增加345.85万元，增长100.00%。主要原因是：今年学生经费标准提高。</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1.教育支出（类）7923.59万元，占100.0%。</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1.教育支出（类）普通教育（款）小学教育（项）：2025年预算数为7923.59万元，比上年预算增加190.74万元，增长2.47%，主要原因是：本单位教职工工资标准及学生公用经费标准提高。</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六、关于墨玉县普恰克其乡中心小学单位2025年一般公共预算基本支出情况说明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墨玉县普恰克其乡中心小学单位2025年一般公共预算基本支出7577.74万元，其中：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人员经费7577.74万元，主要包括：基本工资、津贴补贴、奖金、绩效工资、机关事业单位基本养老保险缴费、职工基本医疗保险缴费、其他社会保障缴费、住房公积金、退休费。</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七、关于墨玉县普恰克其乡中心小学单位2025年一般公共预算项目支出情况说明</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预算安排规模：1.44万元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（二）项目名称：义务教育小学阶段公用经费（自治区直达资金）（墨财教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预算安排规模：0.44万元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（三）项目名称：义务教育小学阶段公用经费（第二批中央直达资金）（墨财教</w:t>
      </w:r>
      <w:r>
        <w:rPr>
          <w:rFonts w:hint="eastAsia" w:ascii="仿宋_GB2312" w:hAnsi="黑体" w:eastAsia="仿宋_GB2312"/>
          <w:sz w:val="32"/>
          <w:szCs w:val="32"/>
          <w:lang w:eastAsia="zh-CN"/>
        </w:rPr>
        <w:t>〔2023〕33号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预算安排规模：56.13万元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预算安排规模：65.56万元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预算安排规模：22.84万元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预算安排规模：127.36万元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预算安排规模：0.95万元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（八）项目名称：2023年义务教育小学阶段公用经费自治区第二批直达资金（和地财教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预算安排规模：26.56万元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（九）项目名称：2023年义务教育特教阶段公用经费自治区第二批直达资金（和地财教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预算安排规模：1.82万元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（一十）项目名称：2024年义务教育特教阶段公用经费（第二批中央直达资金）（和地财教</w:t>
      </w:r>
      <w:r>
        <w:rPr>
          <w:rFonts w:hint="eastAsia" w:ascii="仿宋_GB2312" w:hAnsi="黑体" w:eastAsia="仿宋_GB2312"/>
          <w:sz w:val="32"/>
          <w:szCs w:val="32"/>
          <w:lang w:eastAsia="zh-CN"/>
        </w:rPr>
        <w:t>〔2024〕18号</w:t>
      </w:r>
      <w:r>
        <w:rPr>
          <w:rFonts w:ascii="仿宋_GB2312" w:hAnsi="黑体" w:eastAsia="仿宋_GB2312"/>
          <w:sz w:val="32"/>
          <w:szCs w:val="32"/>
        </w:rPr>
        <w:t>、墨财教</w:t>
      </w:r>
      <w:r>
        <w:rPr>
          <w:rFonts w:hint="eastAsia" w:ascii="仿宋_GB2312" w:hAnsi="黑体" w:eastAsia="仿宋_GB2312"/>
          <w:sz w:val="32"/>
          <w:szCs w:val="32"/>
          <w:lang w:eastAsia="zh-CN"/>
        </w:rPr>
        <w:t>〔2024〕48号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预算安排规模：0.14万元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（一十一）项目名称：2024年乡村教师生活补助资金（9-12月）（和地财教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设立的政策依据：城乡义务教育补助经费管理办法的通知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预算安排规模：14.86万元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（一十二）项目名称：2024年乡村教师生活补助资金(第二批）（和地财教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设立的政策依据：城乡义务教育补助经费管理办法的通知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预算安排规模：27.75万元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项目承担单位：墨玉县普恰克其乡中心小学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资金分配情况：按在校人数</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八、关于墨玉县普恰克其乡中心小学单位2025年政府性基金预算拨款情况说明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墨玉县普恰克其乡中心小学2025政府性基金支出预算支出0.34万元。与上年相比增加0.34万元，增长100.00%。主要原因是今年财政安排政府性基金支出预算。其中：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1．其他支出（类）彩票公益金安排的支出（款）用于教育事业的彩票公益金支出（项）支出0.34万元，与上年相比增加0.34万元，增长100.00%，主要是用于学校的少年宫各类兴趣小组文体活动类等费用开支。</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九、关于墨玉县普恰克其乡中心小学单位2025年国有资本经营预算拨款情况说明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墨玉县普恰克其乡中心小学单位2025年没有使用国有资本经营预算拨款安排的支出，国有资本经营预算支出情况表为空表。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十、关于墨玉县普恰克其乡中心小学单位2025年财政拨款“三公”经费预算情况说明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墨玉县普恰克其乡中心小学单位2025年财政拨款“三公”经费数为0.00万元，其中：因公出国（境）费0.00万元，公务用车购置费0.00万元，公务用车运行费0.00万元，公务接待费0.00万元。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我单位本年无公务用车</w:t>
      </w:r>
      <w:r>
        <w:rPr>
          <w:rFonts w:hint="eastAsia" w:ascii="仿宋_GB2312" w:hAnsi="宋体" w:eastAsia="仿宋_GB2312" w:cs="宋体"/>
          <w:kern w:val="0"/>
          <w:sz w:val="32"/>
          <w:szCs w:val="32"/>
          <w:lang w:val="en-US" w:eastAsia="zh-CN"/>
        </w:rPr>
        <w:t>运行费</w:t>
      </w:r>
      <w:r>
        <w:rPr>
          <w:rFonts w:hint="eastAsia" w:ascii="仿宋_GB2312" w:hAnsi="宋体" w:eastAsia="仿宋_GB2312" w:cs="宋体"/>
          <w:kern w:val="0"/>
          <w:sz w:val="32"/>
          <w:szCs w:val="32"/>
        </w:rPr>
        <w:t>预算安排；公务接待费减少0.00万元，下降0.00%，主要原因是我单位本年无</w:t>
      </w:r>
      <w:r>
        <w:rPr>
          <w:rFonts w:hint="eastAsia" w:ascii="仿宋_GB2312" w:hAnsi="宋体" w:eastAsia="仿宋_GB2312" w:cs="宋体"/>
          <w:kern w:val="0"/>
          <w:sz w:val="32"/>
          <w:szCs w:val="32"/>
          <w:lang w:val="en-US" w:eastAsia="zh-CN"/>
        </w:rPr>
        <w:t>公务接待费</w:t>
      </w:r>
      <w:r>
        <w:rPr>
          <w:rFonts w:hint="eastAsia" w:ascii="仿宋_GB2312" w:hAnsi="宋体" w:eastAsia="仿宋_GB2312" w:cs="宋体"/>
          <w:kern w:val="0"/>
          <w:sz w:val="32"/>
          <w:szCs w:val="32"/>
        </w:rPr>
        <w:t>预算安排。</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十一、关于墨玉县普恰克其乡中心小学单位2025年上年结转结余预算情况说明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墨玉县普恰克其乡中心小学单位2025年没有上年结转结余预算的支出，上年结转结余情况明细表为空表。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墨玉县普恰克其乡中心小学单位2025年的事业单位运行经费财政拨款预算0.00万元，比上年预算减少0.00万元，下降0.00%。主要原因是我单位本年无单位运行经费预算安排。</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2025年，墨玉县普恰克其乡中心小学单位政府采购预算0万元，其中：政府采购货物预算0万元，政府采购工程预算0万元，政府采购服务预算0万元。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2025年，墨玉县普恰克其乡中心小学单位面向中小企业预留政府采购项目预算金额0万元，小微企业预留政府采购项目预算金额0万元。</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截至2024年底，墨玉县普恰克其乡中心小学单位及下属各预算单位占用使用国有资产总体情况为：</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2.车辆0辆，价值0万元；其中：一般公务用车0辆，价值0万元；执法执勤用车0辆，价值0万元；其他车辆1辆，价值5万元。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单位价值50万元以上大型设备1台（套），单位价值100万元以上大型设备0台（套）。</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7577.73万元；当年预算安排项目共0个，其中：财政拨款项目涉及预算金额0万元；非财政拨款项目涉及预算金额0万元。具体情况见下表（按项目分别填报）：</w:t>
      </w: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bookmarkStart w:id="0" w:name="_GoBack"/>
      <w:bookmarkEnd w:id="0"/>
    </w:p>
    <w:tbl>
      <w:tblPr>
        <w:tblStyle w:val="3"/>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25"/>
        <w:gridCol w:w="1404"/>
        <w:gridCol w:w="1629"/>
        <w:gridCol w:w="1231"/>
        <w:gridCol w:w="1300"/>
        <w:gridCol w:w="9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22" w:hRule="atLeast"/>
        </w:trPr>
        <w:tc>
          <w:tcPr>
            <w:tcW w:w="8400" w:type="dxa"/>
            <w:gridSpan w:val="6"/>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4" w:hRule="atLeast"/>
        </w:trPr>
        <w:tc>
          <w:tcPr>
            <w:tcW w:w="8400" w:type="dxa"/>
            <w:gridSpan w:val="6"/>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5"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647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墨玉县普恰克其乡中心小学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5"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03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努日阿拉·玉苏普江</w:t>
            </w:r>
          </w:p>
        </w:tc>
        <w:tc>
          <w:tcPr>
            <w:tcW w:w="123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21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18199384218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346"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6475"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建设一支既有专业知识，又能教书育人的高质量教师队伍，完成校园绿化建设、坚持党的教育方针，坚持</w:t>
            </w:r>
            <w:r>
              <w:rPr>
                <w:rFonts w:hint="eastAsia" w:ascii="宋体" w:hAnsi="宋体" w:cs="宋体"/>
                <w:i w:val="0"/>
                <w:color w:val="000000"/>
                <w:kern w:val="0"/>
                <w:sz w:val="24"/>
                <w:szCs w:val="24"/>
                <w:u w:val="none"/>
                <w:lang w:val="en-US" w:eastAsia="zh-CN" w:bidi="ar"/>
              </w:rPr>
              <w:t>立德树人根本任务</w:t>
            </w:r>
            <w:r>
              <w:rPr>
                <w:rFonts w:hint="eastAsia" w:ascii="宋体" w:hAnsi="宋体" w:eastAsia="宋体" w:cs="宋体"/>
                <w:i w:val="0"/>
                <w:color w:val="000000"/>
                <w:kern w:val="0"/>
                <w:sz w:val="24"/>
                <w:szCs w:val="24"/>
                <w:u w:val="none"/>
                <w:lang w:val="en-US" w:eastAsia="zh-CN" w:bidi="ar"/>
              </w:rPr>
              <w:t>，教育大会精神，全面落实教育局决策部署，提升教育治理能力，回应社会关切，加快推 进教育现代化，紧紧围绕“教育方针”目标，谋划学校发展，统筹资金保障，加快学前教育普惠发展、均衡发展、优质发展：持续实施新优质中小学培育计划，促进教育教学质量提升：优化结构、合理布局，强力推进中小学阶段教育普及；加快推进义务教育产教融合深度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3" w:hRule="atLeast"/>
        </w:trPr>
        <w:tc>
          <w:tcPr>
            <w:tcW w:w="192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03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3" w:hRule="atLeast"/>
        </w:trPr>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3" w:hRule="atLeast"/>
        </w:trPr>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7577.73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3" w:hRule="atLeast"/>
        </w:trPr>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344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3"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40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3" w:hRule="atLeast"/>
        </w:trPr>
        <w:tc>
          <w:tcPr>
            <w:tcW w:w="1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教师教研活动次数</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3" w:hRule="atLeast"/>
        </w:trPr>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教师听评课次数</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&gt;=40节</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3" w:hRule="atLeast"/>
        </w:trPr>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党员学习次数</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&gt;=24次</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12"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学生及教师满意度</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&gt;=95%</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bl>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pPr>
        <w:widowControl/>
        <w:spacing w:line="520" w:lineRule="exact"/>
        <w:jc w:val="left"/>
        <w:rPr>
          <w:rFonts w:ascii="仿宋_GB2312" w:hAnsi="宋体" w:eastAsia="仿宋_GB2312" w:cs="宋体"/>
          <w:kern w:val="0"/>
          <w:sz w:val="32"/>
          <w:szCs w:val="32"/>
        </w:rPr>
      </w:pPr>
    </w:p>
    <w:p>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墨玉县普恰克其乡中心小学</w:t>
      </w:r>
    </w:p>
    <w:p>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05ED16B7"/>
    <w:rsid w:val="06DE1FF2"/>
    <w:rsid w:val="07491E7D"/>
    <w:rsid w:val="396F4FE5"/>
    <w:rsid w:val="3DDC7F8B"/>
    <w:rsid w:val="47E06AC4"/>
    <w:rsid w:val="4C6E35B2"/>
    <w:rsid w:val="4C842A31"/>
    <w:rsid w:val="52E94A01"/>
    <w:rsid w:val="56C41FD1"/>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7682</Words>
  <Characters>9560</Characters>
  <Lines>0</Lines>
  <Paragraphs>0</Paragraphs>
  <TotalTime>11</TotalTime>
  <ScaleCrop>false</ScaleCrop>
  <LinksUpToDate>false</LinksUpToDate>
  <CharactersWithSpaces>9737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Lenovo</cp:lastModifiedBy>
  <dcterms:modified xsi:type="dcterms:W3CDTF">2025-06-24T11:27:09Z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KSOTemplateDocerSaveRecord">
    <vt:lpwstr>eyJoZGlkIjoiNjUzOTU3Mzk5YzI3YWZhODkwY2QxOTYwNjg2NWQ1NWYiLCJ1c2VySWQiOiIzOTY0MzM4NzUifQ==</vt:lpwstr>
  </property>
  <property fmtid="{D5CDD505-2E9C-101B-9397-08002B2CF9AE}" pid="4" name="ICV">
    <vt:lpwstr>6F2181EC3C4848EFB0D4E4962FBD76F5_12</vt:lpwstr>
  </property>
</Properties>
</file>