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墨玉县第六小学</w:t>
      </w:r>
    </w:p>
    <w:p>
      <w:pPr>
        <w:widowControl/>
        <w:spacing w:before="100" w:beforeAutospacing="1" w:after="100" w:afterAutospacing="1"/>
        <w:jc w:val="center"/>
        <w:outlineLvl w:val="1"/>
        <w:rPr>
          <w:rFonts w:hint="eastAsia" w:ascii="方正小标宋_GBK" w:hAnsi="宋体" w:eastAsia="方正小标宋_GBK"/>
          <w:kern w:val="0"/>
          <w:sz w:val="44"/>
          <w:szCs w:val="44"/>
        </w:rPr>
      </w:pPr>
      <w:r>
        <w:rPr>
          <w:rFonts w:hint="eastAsia" w:ascii="方正小标宋_GBK" w:hAnsi="宋体" w:eastAsia="方正小标宋_GBK"/>
          <w:kern w:val="0"/>
          <w:sz w:val="44"/>
          <w:szCs w:val="44"/>
        </w:rPr>
        <w:t>2025年单位预算公开</w:t>
      </w: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before="100" w:beforeAutospacing="1" w:after="100" w:afterAutospacing="1"/>
        <w:jc w:val="center"/>
        <w:outlineLvl w:val="1"/>
        <w:rPr>
          <w:rFonts w:ascii="宋体" w:hAnsi="宋体"/>
          <w:b/>
          <w:kern w:val="0"/>
          <w:sz w:val="44"/>
          <w:szCs w:val="44"/>
        </w:rPr>
      </w:pPr>
    </w:p>
    <w:p>
      <w:pPr>
        <w:widowControl/>
        <w:spacing w:line="500" w:lineRule="exact"/>
        <w:jc w:val="center"/>
        <w:outlineLvl w:val="1"/>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widowControl/>
        <w:spacing w:line="600" w:lineRule="exact"/>
        <w:ind w:firstLine="883" w:firstLineChars="200"/>
        <w:jc w:val="both"/>
        <w:outlineLvl w:val="1"/>
        <w:rPr>
          <w:rFonts w:ascii="宋体" w:hAnsi="宋体"/>
          <w:b/>
          <w:kern w:val="0"/>
          <w:sz w:val="44"/>
          <w:szCs w:val="44"/>
        </w:rPr>
      </w:pP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第一部分 2025年单位概况</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一、主要职能</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二、机构设置及人员情况</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第二部分 2025年单位预算公开表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一、单位收支总体情况表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二、单位收入总体情况表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三、单位支出总体情况表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第三部分 2025年单位预算情况说明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一、关于墨玉县第六小学单位2025年收支预算情况的总体说明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二、关于墨玉县第六小学单位2025年收入预算情况说明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三、关于墨玉县第六小学单位2025年支出预算情况说明</w:t>
      </w:r>
    </w:p>
    <w:p>
      <w:pPr>
        <w:widowControl/>
        <w:spacing w:line="600" w:lineRule="exact"/>
        <w:ind w:firstLine="640" w:firstLineChars="200"/>
        <w:outlineLvl w:val="1"/>
        <w:rPr>
          <w:rFonts w:hint="eastAsia" w:ascii="仿宋_GB2312" w:hAnsi="宋体" w:eastAsia="仿宋_GB2312"/>
          <w:bCs/>
          <w:kern w:val="0"/>
          <w:sz w:val="32"/>
          <w:szCs w:val="32"/>
        </w:rPr>
      </w:pPr>
      <w:r>
        <w:rPr>
          <w:rFonts w:hint="eastAsia" w:ascii="仿宋_GB2312" w:hAnsi="宋体" w:eastAsia="仿宋_GB2312"/>
          <w:bCs/>
          <w:kern w:val="0"/>
          <w:sz w:val="32"/>
          <w:szCs w:val="32"/>
        </w:rPr>
        <w:t>四、关于墨玉县第六小学单位2025年财政拨款收支预算情况的总体说明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五、关于墨玉县第六小学单位2025年一般公共预算当年拨款情况说明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六、关于墨玉县第六小学单位2025年一般公共预算基本支出情况说明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七、关于墨玉县第六小学单位2025年一般公共预算项目支出情况说明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八、关于墨玉县第六小学单位2025年政府性基金预算拨款情况说明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九、关于墨玉县第六小学单位2025年国有资本经营预算拨款情况说明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十、关于墨玉县第六小学单位2025年财政拨款“三公”经费预算情况说明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十一、关于墨玉县第六小学单位2025年上年结转结余预算情况说明</w:t>
      </w:r>
    </w:p>
    <w:p>
      <w:pPr>
        <w:widowControl/>
        <w:spacing w:line="600" w:lineRule="exact"/>
        <w:ind w:firstLine="640" w:firstLineChars="200"/>
        <w:outlineLvl w:val="1"/>
        <w:rPr>
          <w:rFonts w:hint="eastAsia"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pPr>
        <w:widowControl/>
        <w:spacing w:line="600" w:lineRule="exact"/>
        <w:ind w:firstLine="643" w:firstLineChars="200"/>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第四部分 名词解释</w:t>
      </w:r>
    </w:p>
    <w:p>
      <w:pPr>
        <w:widowControl/>
        <w:jc w:val="center"/>
        <w:outlineLvl w:val="1"/>
        <w:rPr>
          <w:rFonts w:ascii="黑体" w:hAnsi="黑体" w:eastAsia="黑体"/>
          <w:kern w:val="0"/>
          <w:sz w:val="32"/>
          <w:szCs w:val="32"/>
        </w:rPr>
      </w:pPr>
      <w:r>
        <w:rPr>
          <w:rFonts w:ascii="微软雅黑" w:hAnsi="Calibri" w:eastAsia="微软雅黑" w:cs="Times New Roman"/>
          <w:b/>
          <w:bCs/>
          <w:kern w:val="44"/>
          <w:sz w:val="28"/>
          <w:szCs w:val="28"/>
        </w:rPr>
        <w:br w:type="page"/>
      </w:r>
      <w:r>
        <w:rPr>
          <w:rFonts w:hint="eastAsia" w:ascii="黑体" w:hAnsi="黑体" w:eastAsia="黑体"/>
          <w:kern w:val="0"/>
          <w:sz w:val="32"/>
          <w:szCs w:val="32"/>
        </w:rPr>
        <w:t>第一部分 2025年单位概况</w:t>
      </w:r>
    </w:p>
    <w:p>
      <w:pPr>
        <w:widowControl/>
        <w:jc w:val="center"/>
        <w:outlineLvl w:val="1"/>
        <w:rPr>
          <w:rFonts w:ascii="宋体" w:hAnsi="宋体"/>
          <w:b/>
          <w:kern w:val="0"/>
          <w:sz w:val="32"/>
          <w:szCs w:val="32"/>
        </w:rPr>
      </w:pPr>
    </w:p>
    <w:p>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pPr>
        <w:widowControl/>
        <w:spacing w:line="540" w:lineRule="exact"/>
        <w:jc w:val="left"/>
        <w:rPr>
          <w:rFonts w:ascii="仿宋_GB2312" w:hAnsi="宋体" w:eastAsia="仿宋_GB2312" w:cs="宋体"/>
          <w:bCs/>
          <w:kern w:val="0"/>
          <w:sz w:val="32"/>
          <w:szCs w:val="32"/>
        </w:rPr>
      </w:pPr>
      <w:r>
        <w:rPr>
          <w:rFonts w:hint="eastAsia" w:ascii="黑体" w:hAnsi="黑体" w:eastAsia="黑体" w:cs="宋体"/>
          <w:bCs/>
          <w:kern w:val="0"/>
          <w:sz w:val="32"/>
          <w:szCs w:val="32"/>
        </w:rPr>
        <w:t xml:space="preserve">　  </w:t>
      </w:r>
      <w:r>
        <w:rPr>
          <w:rFonts w:hint="eastAsia" w:ascii="仿宋_GB2312" w:hAnsi="黑体" w:eastAsia="仿宋_GB2312" w:cs="宋体"/>
          <w:bCs/>
          <w:kern w:val="0"/>
          <w:sz w:val="32"/>
          <w:szCs w:val="32"/>
        </w:rPr>
        <w:t>义务教育是国家基础教育的重要组成部分，是培养社会主义建设者和接班人的关键阶段。义务教育岗位的职责是保障每个孩子接受良好的基础教育，提供平等、普及、有质量的教育机会，促进社会公平，推动全民素质提升。</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1.教育教学工作义务教育岗位的首要职责是负责教育教学工作。具体包括：制定教育教学计划和教学大纲，确保教育教学工作符合国家相关规定和要求；组织实施教育教学工作，提供规范、富有启发性的教育教学活动；进行学生评价和成绩统计工作，及时反馈学生学习情况给家长、学生及相关部门提供学生学习的指导和辅导，关注每个学生的发展和成长，培养他们的综合素质；开展教育教学研究，不断提升自身教育教学水平。</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2.学科建设和发展义务教育岗位还负责学科建设和学科发展。具体包括：制定学科发展规划和年度工作计划，提出学科建设的目标和措施；组织开展学科教学改革和教研活动，推动学科教学内容和方法的创新；负责学科教师培训和业务培养，提升学科教师的专业素质和能力；指导学科教师参与教育教学研究和学术交流，促进学科发展。</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3.班级管理和辅导工作义务教育岗位的另一项重要职责是班级管理和辅导工作。具体包括：组织制定班级管理制度和规章制度，建立良好的班级风气；建设班级文化，促进学生的全面发展和集体荣誉感；管理学生日常行为，保护学生的合法权益；组织班级活动和集体活动，丰富学生的课余生活；提供学生辅导和心理咨询，解决学生在学习和生活中的问题。</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4.家校沟通和交流工作义务教育岗位还负责家校沟通和交流工作。具体包括：组织家长会，向家长介绍学校教育教学工作和学生学习情况；定期与家长进行沟通，及时了解家长的意见和建议；指导家长如何正确教育和关爱孩子，促进家庭教育的良性发展；组织家长参与学校活动和交流，加强学校与家庭的联系。</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5.学校管理和发展义务教育岗位还负责学校管理和发展。具体包括：制定学校发展规划和年度工作计划，推动学校全面发展；组织学校管理，确保教育教学工作和各项管理工作的顺利进行；协调学校资源的合理利用，推动学校硬件和软件建设；处理学校与外界的关系，维护学校的声誉和形象，开展学校对外交流与合作，提高学校的国际化水平。</w:t>
      </w:r>
    </w:p>
    <w:p>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墨玉县第六小学单位无下属预算单位，下设6个处室，分别是：教务科、德育办、后勤办公室、财务室、体育室、音乐室</w:t>
      </w:r>
      <w:r>
        <w:rPr>
          <w:rFonts w:hint="eastAsia" w:ascii="仿宋_GB2312" w:hAnsi="宋体" w:eastAsia="仿宋_GB2312" w:cs="宋体"/>
          <w:kern w:val="0"/>
          <w:sz w:val="32"/>
          <w:szCs w:val="32"/>
        </w:rPr>
        <w:t>。</w:t>
      </w:r>
    </w:p>
    <w:p>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墨玉县第六小学单位编制数53，实有人数30人，其中：在职30人，增加0人；退休0人，增加0人；离休0人，减少0人。</w:t>
      </w:r>
    </w:p>
    <w:p>
      <w:pPr>
        <w:widowControl/>
        <w:spacing w:before="120"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2025年单位预算公开表</w:t>
      </w:r>
    </w:p>
    <w:p>
      <w:pPr>
        <w:widowControl/>
        <w:spacing w:before="120" w:beforeLines="50"/>
        <w:outlineLvl w:val="1"/>
        <w:rPr>
          <w:rFonts w:hint="eastAsia" w:ascii="宋体" w:hAnsi="宋体" w:eastAsia="宋体" w:cs="宋体"/>
          <w:kern w:val="0"/>
          <w:sz w:val="20"/>
          <w:szCs w:val="20"/>
        </w:rPr>
      </w:pPr>
      <w:r>
        <w:rPr>
          <w:rFonts w:hint="eastAsia" w:ascii="宋体" w:hAnsi="宋体" w:eastAsia="宋体" w:cs="宋体"/>
          <w:kern w:val="0"/>
          <w:sz w:val="20"/>
          <w:szCs w:val="20"/>
        </w:rPr>
        <w:t>表1</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3"/>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2567"/>
        <w:gridCol w:w="1701"/>
        <w:gridCol w:w="2693"/>
        <w:gridCol w:w="756"/>
        <w:gridCol w:w="945"/>
        <w:gridCol w:w="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22" w:type="dxa"/>
            <w:gridSpan w:val="5"/>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编制单位：墨玉县第六小学</w:t>
            </w:r>
          </w:p>
        </w:tc>
        <w:tc>
          <w:tcPr>
            <w:tcW w:w="1308" w:type="dxa"/>
            <w:gridSpan w:val="2"/>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exact"/>
        </w:trPr>
        <w:tc>
          <w:tcPr>
            <w:tcW w:w="2567" w:type="dxa"/>
            <w:tcBorders>
              <w:top w:val="nil"/>
              <w:left w:val="single" w:color="auto" w:sz="4" w:space="0"/>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701"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701" w:type="dxa"/>
            <w:gridSpan w:val="2"/>
            <w:tcBorders>
              <w:top w:val="nil"/>
              <w:left w:val="nil"/>
              <w:bottom w:val="single" w:color="auto" w:sz="4" w:space="0"/>
              <w:right w:val="single" w:color="auto" w:sz="4" w:space="0"/>
            </w:tcBorders>
            <w:shd w:val="clear" w:color="auto" w:fill="auto"/>
            <w:noWrap/>
            <w:vAlign w:val="center"/>
          </w:tcPr>
          <w:p>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一、本年收入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492.59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492.38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479.00</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13.38</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492.59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3.国有资本经营预算拨款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4.财政专户核拨</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5.单位资金</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0.21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0.21</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二、上年结转结余</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1.财政拨款结转</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2.非财政拨款结余</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left"/>
              <w:rPr>
                <w:rFonts w:ascii="仿宋_GB2312" w:hAnsi="宋体" w:eastAsia="仿宋_GB2312" w:cs="宋体"/>
                <w:kern w:val="0"/>
                <w:sz w:val="18"/>
                <w:szCs w:val="18"/>
              </w:rPr>
            </w:pP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pPr>
              <w:widowControl/>
              <w:spacing w:line="300" w:lineRule="exact"/>
              <w:jc w:val="left"/>
              <w:rPr>
                <w:rFonts w:ascii="仿宋_GB2312" w:hAnsi="宋体" w:eastAsia="仿宋_GB2312" w:cs="宋体"/>
                <w:kern w:val="0"/>
                <w:sz w:val="18"/>
                <w:szCs w:val="18"/>
              </w:rPr>
            </w:pP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gridAfter w:val="1"/>
          <w:wBefore w:w="5" w:type="dxa"/>
          <w:wAfter w:w="363" w:type="dxa"/>
          <w:trHeight w:val="312" w:hRule="atLeast"/>
        </w:trPr>
        <w:tc>
          <w:tcPr>
            <w:tcW w:w="2567"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701" w:type="dxa"/>
            <w:tcBorders>
              <w:top w:val="nil"/>
              <w:left w:val="nil"/>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492.59</w:t>
            </w:r>
          </w:p>
        </w:tc>
        <w:tc>
          <w:tcPr>
            <w:tcW w:w="2693" w:type="dxa"/>
            <w:tcBorders>
              <w:top w:val="nil"/>
              <w:left w:val="nil"/>
              <w:bottom w:val="single" w:color="auto" w:sz="4" w:space="0"/>
              <w:right w:val="nil"/>
            </w:tcBorders>
            <w:shd w:val="clear" w:color="auto" w:fill="auto"/>
            <w:noWrap/>
            <w:vAlign w:val="center"/>
          </w:tcPr>
          <w:p>
            <w:pPr>
              <w:widowControl/>
              <w:spacing w:line="300" w:lineRule="exact"/>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701" w:type="dxa"/>
            <w:gridSpan w:val="2"/>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492.59</w:t>
            </w:r>
          </w:p>
        </w:tc>
      </w:tr>
    </w:tbl>
    <w:p>
      <w:pPr>
        <w:widowControl/>
        <w:jc w:val="left"/>
        <w:outlineLvl w:val="1"/>
        <w:rPr>
          <w:rFonts w:ascii="微软雅黑" w:hAnsi="微软雅黑" w:eastAsia="微软雅黑" w:cs="Times New Roman"/>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pPr>
        <w:widowControl/>
        <w:jc w:val="left"/>
        <w:outlineLvl w:val="1"/>
        <w:rPr>
          <w:rFonts w:hint="eastAsia" w:ascii="宋体" w:hAnsi="宋体" w:eastAsia="宋体" w:cs="宋体"/>
          <w:kern w:val="0"/>
          <w:sz w:val="20"/>
          <w:szCs w:val="20"/>
        </w:rPr>
      </w:pPr>
      <w:r>
        <w:rPr>
          <w:rFonts w:hint="eastAsia" w:ascii="宋体" w:hAnsi="宋体" w:eastAsia="宋体" w:cs="宋体"/>
          <w:kern w:val="0"/>
          <w:sz w:val="20"/>
          <w:szCs w:val="20"/>
        </w:rPr>
        <w:t>表2</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3"/>
        <w:tblpPr w:leftFromText="180" w:rightFromText="180" w:vertAnchor="text" w:horzAnchor="page" w:tblpX="1676" w:tblpY="5"/>
        <w:tblOverlap w:val="never"/>
        <w:tblW w:w="13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00"/>
        <w:gridCol w:w="38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00" w:type="dxa"/>
            <w:tcBorders>
              <w:top w:val="nil"/>
              <w:left w:val="nil"/>
              <w:bottom w:val="nil"/>
              <w:right w:val="nil"/>
            </w:tcBorders>
          </w:tcPr>
          <w:p>
            <w:pPr>
              <w:widowControl/>
              <w:jc w:val="lef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编制单位：墨玉县第六小学</w:t>
            </w:r>
          </w:p>
        </w:tc>
        <w:tc>
          <w:tcPr>
            <w:tcW w:w="3889" w:type="dxa"/>
            <w:tcBorders>
              <w:top w:val="nil"/>
              <w:left w:val="nil"/>
              <w:bottom w:val="nil"/>
              <w:right w:val="nil"/>
            </w:tcBorders>
          </w:tcPr>
          <w:p>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hAnsi="宋体" w:eastAsia="仿宋_GB2312" w:cs="宋体"/>
                <w:b/>
                <w:bCs w:val="0"/>
                <w:color w:val="000000"/>
                <w:sz w:val="24"/>
                <w:szCs w:val="24"/>
                <w:highlight w:val="none"/>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bCs w:val="0"/>
                <w:color w:val="000000"/>
                <w:sz w:val="20"/>
                <w:szCs w:val="20"/>
                <w:highlight w:val="none"/>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noWrap w:val="0"/>
            <w:vAlign w:val="center"/>
          </w:tcPr>
          <w:p>
            <w:pPr>
              <w:jc w:val="center"/>
              <w:rPr>
                <w:rFonts w:ascii="仿宋_GB2312" w:hAnsi="宋体" w:eastAsia="仿宋_GB2312" w:cs="宋体"/>
                <w:b/>
                <w:color w:val="000000"/>
                <w:sz w:val="20"/>
                <w:szCs w:val="20"/>
              </w:rPr>
            </w:pPr>
            <w:r>
              <w:rPr>
                <w:rFonts w:hint="eastAsia" w:ascii="仿宋_GB2312" w:eastAsia="仿宋_GB2312"/>
                <w:b/>
                <w:color w:val="000000"/>
                <w:sz w:val="20"/>
                <w:szCs w:val="20"/>
                <w:highlight w:val="none"/>
              </w:rPr>
              <w:t>单位资金</w:t>
            </w:r>
          </w:p>
        </w:tc>
        <w:tc>
          <w:tcPr>
            <w:tcW w:w="840" w:type="dxa"/>
            <w:vMerge w:val="restart"/>
            <w:tcBorders>
              <w:top w:val="single" w:color="auto" w:sz="4" w:space="0"/>
              <w:left w:val="single" w:color="auto"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财政拨款结转</w:t>
            </w:r>
          </w:p>
        </w:tc>
        <w:tc>
          <w:tcPr>
            <w:tcW w:w="820" w:type="dxa"/>
            <w:vMerge w:val="restart"/>
            <w:tcBorders>
              <w:top w:val="single" w:color="auto" w:sz="4" w:space="0"/>
              <w:left w:val="single" w:color="auto" w:sz="4" w:space="0"/>
              <w:right w:val="single" w:color="auto" w:sz="4" w:space="0"/>
            </w:tcBorders>
            <w:shd w:val="clear" w:color="auto" w:fill="auto"/>
            <w:noWrap w:val="0"/>
            <w:vAlign w:val="center"/>
          </w:tcPr>
          <w:p>
            <w:pPr>
              <w:jc w:val="center"/>
              <w:rPr>
                <w:rFonts w:hint="eastAsia" w:ascii="仿宋_GB2312" w:eastAsia="仿宋_GB2312"/>
                <w:b/>
                <w:color w:val="000000"/>
                <w:sz w:val="20"/>
                <w:szCs w:val="20"/>
              </w:rPr>
            </w:pPr>
            <w:r>
              <w:rPr>
                <w:rFonts w:hint="eastAsia" w:ascii="仿宋_GB2312" w:eastAsia="仿宋_GB2312"/>
                <w:b/>
                <w:color w:val="000000"/>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noWrap w:val="0"/>
            <w:vAlign w:val="center"/>
          </w:tcPr>
          <w:p>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财政拨款(补助)小计</w:t>
            </w:r>
          </w:p>
        </w:tc>
        <w:tc>
          <w:tcPr>
            <w:tcW w:w="9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一般公共预算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政府性基金预算</w:t>
            </w:r>
          </w:p>
        </w:tc>
        <w:tc>
          <w:tcPr>
            <w:tcW w:w="84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国有资本经营预算</w:t>
            </w:r>
          </w:p>
        </w:tc>
        <w:tc>
          <w:tcPr>
            <w:tcW w:w="850" w:type="dxa"/>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highlight w:val="none"/>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教育支出</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492.59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492.38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479.00</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13.38</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0.21</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普通教育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492.59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492.38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479.00</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13.38</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0.21</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205</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小学教育</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492.59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492.38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479.00</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r>
              <w:rPr>
                <w:rFonts w:hint="eastAsia" w:ascii="仿宋_GB2312" w:eastAsia="仿宋_GB2312"/>
                <w:color w:val="000000"/>
                <w:sz w:val="18"/>
                <w:szCs w:val="18"/>
              </w:rPr>
              <w:t>13.38</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color w:val="000000"/>
                <w:sz w:val="18"/>
                <w:szCs w:val="18"/>
              </w:rPr>
            </w:pPr>
            <w:r>
              <w:rPr>
                <w:rFonts w:hint="eastAsia" w:ascii="仿宋_GB2312" w:eastAsia="仿宋_GB2312"/>
                <w:color w:val="000000"/>
                <w:sz w:val="18"/>
                <w:szCs w:val="18"/>
              </w:rPr>
              <w:t>0.21</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b/>
                <w:color w:val="000000"/>
                <w:sz w:val="18"/>
                <w:szCs w:val="18"/>
              </w:rPr>
            </w:pPr>
            <w:r>
              <w:rPr>
                <w:rFonts w:hint="eastAsia" w:ascii="仿宋_GB2312" w:eastAsia="仿宋_GB2312"/>
                <w:b/>
                <w:color w:val="000000"/>
                <w:sz w:val="18"/>
                <w:szCs w:val="18"/>
              </w:rPr>
              <w:t>合    计</w:t>
            </w:r>
          </w:p>
        </w:tc>
        <w:tc>
          <w:tcPr>
            <w:tcW w:w="101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492.59</w:t>
            </w:r>
          </w:p>
        </w:tc>
        <w:tc>
          <w:tcPr>
            <w:tcW w:w="102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492.38</w:t>
            </w:r>
          </w:p>
        </w:tc>
        <w:tc>
          <w:tcPr>
            <w:tcW w:w="95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479.00</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r>
              <w:rPr>
                <w:rFonts w:hint="eastAsia" w:ascii="仿宋_GB2312" w:eastAsia="仿宋_GB2312"/>
                <w:b/>
                <w:color w:val="000000"/>
                <w:sz w:val="18"/>
                <w:szCs w:val="18"/>
              </w:rPr>
              <w:t>13.38</w:t>
            </w: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pPr>
              <w:jc w:val="right"/>
              <w:rPr>
                <w:rFonts w:ascii="仿宋_GB2312" w:hAnsi="宋体" w:eastAsia="仿宋_GB2312" w:cs="宋体"/>
                <w:b/>
                <w:color w:val="000000"/>
                <w:sz w:val="18"/>
                <w:szCs w:val="18"/>
              </w:rPr>
            </w:pPr>
            <w:r>
              <w:rPr>
                <w:rFonts w:hint="eastAsia" w:ascii="仿宋_GB2312" w:eastAsia="仿宋_GB2312"/>
                <w:b/>
                <w:color w:val="000000"/>
                <w:sz w:val="18"/>
                <w:szCs w:val="18"/>
              </w:rPr>
              <w:t>0.21</w:t>
            </w:r>
          </w:p>
        </w:tc>
        <w:tc>
          <w:tcPr>
            <w:tcW w:w="84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r>
    </w:tbl>
    <w:p>
      <w:pPr>
        <w:widowControl/>
        <w:jc w:val="left"/>
        <w:outlineLvl w:val="1"/>
        <w:rPr>
          <w:rFonts w:hint="eastAsia"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表3</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3"/>
        <w:tblW w:w="9010"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
        <w:gridCol w:w="489"/>
        <w:gridCol w:w="400"/>
        <w:gridCol w:w="400"/>
        <w:gridCol w:w="2415"/>
        <w:gridCol w:w="1760"/>
        <w:gridCol w:w="1761"/>
        <w:gridCol w:w="475"/>
        <w:gridCol w:w="1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blHeader/>
        </w:trPr>
        <w:tc>
          <w:tcPr>
            <w:tcW w:w="7710" w:type="dxa"/>
            <w:gridSpan w:val="8"/>
            <w:tcBorders>
              <w:top w:val="nil"/>
              <w:left w:val="nil"/>
              <w:bottom w:val="nil"/>
              <w:right w:val="nil"/>
            </w:tcBorders>
          </w:tcPr>
          <w:p>
            <w:pPr>
              <w:widowControl/>
              <w:jc w:val="left"/>
              <w:outlineLvl w:val="1"/>
              <w:rPr>
                <w:rFonts w:ascii="仿宋_GB2312" w:hAnsi="宋体" w:eastAsia="仿宋_GB2312"/>
                <w:b/>
                <w:kern w:val="0"/>
                <w:sz w:val="32"/>
                <w:szCs w:val="32"/>
                <w:vertAlign w:val="baseline"/>
              </w:rPr>
            </w:pPr>
            <w:r>
              <w:rPr>
                <w:rFonts w:hint="eastAsia" w:ascii="仿宋_GB2312" w:eastAsia="仿宋_GB2312"/>
                <w:color w:val="000000"/>
                <w:sz w:val="24"/>
                <w:szCs w:val="24"/>
              </w:rPr>
              <w:t>编制单位：墨玉县第六小学</w:t>
            </w:r>
          </w:p>
        </w:tc>
        <w:tc>
          <w:tcPr>
            <w:tcW w:w="1300" w:type="dxa"/>
            <w:tcBorders>
              <w:top w:val="nil"/>
              <w:left w:val="nil"/>
              <w:bottom w:val="nil"/>
              <w:right w:val="nil"/>
            </w:tcBorders>
          </w:tcPr>
          <w:p>
            <w:pPr>
              <w:widowControl/>
              <w:jc w:val="right"/>
              <w:outlineLvl w:val="1"/>
              <w:rPr>
                <w:rFonts w:ascii="仿宋_GB2312" w:hAnsi="宋体" w:eastAsia="仿宋_GB2312"/>
                <w:b/>
                <w:kern w:val="0"/>
                <w:sz w:val="32"/>
                <w:szCs w:val="32"/>
                <w:vertAlign w:val="baseline"/>
              </w:rPr>
            </w:pPr>
            <w:r>
              <w:rPr>
                <w:rFonts w:hint="eastAsia" w:ascii="仿宋_GB2312" w:eastAsia="仿宋_GB2312"/>
                <w:sz w:val="24"/>
                <w:szCs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345" w:hRule="atLeast"/>
          <w:tblHeader/>
        </w:trPr>
        <w:tc>
          <w:tcPr>
            <w:tcW w:w="3704"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科目</w:t>
            </w:r>
          </w:p>
        </w:tc>
        <w:tc>
          <w:tcPr>
            <w:tcW w:w="5296" w:type="dxa"/>
            <w:gridSpan w:val="4"/>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hint="eastAsia" w:ascii="仿宋_GB2312" w:eastAsia="仿宋_GB2312"/>
                <w:b/>
                <w:bCs/>
                <w:color w:val="000000"/>
                <w:kern w:val="0"/>
                <w:sz w:val="24"/>
                <w:szCs w:val="24"/>
              </w:rPr>
            </w:pPr>
            <w:r>
              <w:rPr>
                <w:rFonts w:hint="eastAsia" w:ascii="仿宋_GB2312" w:eastAsia="仿宋_GB2312"/>
                <w:b/>
                <w:bCs/>
                <w:color w:val="000000"/>
                <w:kern w:val="0"/>
                <w:sz w:val="24"/>
                <w:szCs w:val="24"/>
              </w:rPr>
              <w:t>支出预算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80" w:hRule="atLeast"/>
          <w:tblHeader/>
        </w:trPr>
        <w:tc>
          <w:tcPr>
            <w:tcW w:w="128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415"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760"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76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775" w:type="dxa"/>
            <w:gridSpan w:val="2"/>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270" w:hRule="atLeast"/>
          <w:tblHeader/>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41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6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6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c>
          <w:tcPr>
            <w:tcW w:w="177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eastAsia="仿宋_GB2312"/>
                <w:b/>
                <w:bCs/>
                <w:color w:val="000000"/>
                <w:kern w:val="0"/>
                <w:sz w:val="20"/>
                <w:szCs w:val="20"/>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教育支出</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492.59</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479.00</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13.59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普通教育</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492.59</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479.00</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13.59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205</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415"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小学教育</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492.59</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479.00</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13.59</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10" w:type="dxa"/>
          <w:trHeight w:val="405" w:hRule="atLeast"/>
        </w:trPr>
        <w:tc>
          <w:tcPr>
            <w:tcW w:w="489"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p>
        </w:tc>
        <w:tc>
          <w:tcPr>
            <w:tcW w:w="2415"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     计</w:t>
            </w:r>
          </w:p>
        </w:tc>
        <w:tc>
          <w:tcPr>
            <w:tcW w:w="176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492.59</w:t>
            </w:r>
          </w:p>
        </w:tc>
        <w:tc>
          <w:tcPr>
            <w:tcW w:w="176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479.00</w:t>
            </w:r>
          </w:p>
        </w:tc>
        <w:tc>
          <w:tcPr>
            <w:tcW w:w="1775"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13.59</w:t>
            </w:r>
          </w:p>
        </w:tc>
      </w:tr>
    </w:tbl>
    <w:p>
      <w:pPr>
        <w:widowControl/>
        <w:spacing w:before="120" w:beforeLines="50"/>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表4</w:t>
      </w:r>
    </w:p>
    <w:p>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3"/>
        <w:tblW w:w="9035"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
        <w:gridCol w:w="1930"/>
        <w:gridCol w:w="1000"/>
        <w:gridCol w:w="2650"/>
        <w:gridCol w:w="930"/>
        <w:gridCol w:w="707"/>
        <w:gridCol w:w="213"/>
        <w:gridCol w:w="800"/>
        <w:gridCol w:w="795"/>
        <w:gridCol w:w="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5" w:type="dxa"/>
        </w:trPr>
        <w:tc>
          <w:tcPr>
            <w:tcW w:w="7222" w:type="dxa"/>
            <w:gridSpan w:val="6"/>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编制单位：墨玉县第六小学</w:t>
            </w:r>
          </w:p>
        </w:tc>
        <w:tc>
          <w:tcPr>
            <w:tcW w:w="1808" w:type="dxa"/>
            <w:gridSpan w:val="3"/>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285" w:hRule="atLeast"/>
        </w:trPr>
        <w:tc>
          <w:tcPr>
            <w:tcW w:w="29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100" w:type="dxa"/>
            <w:gridSpan w:val="7"/>
            <w:tcBorders>
              <w:top w:val="single" w:color="auto" w:sz="4" w:space="0"/>
              <w:left w:val="nil"/>
              <w:bottom w:val="single" w:color="auto" w:sz="4" w:space="0"/>
              <w:right w:val="single" w:color="000000" w:sz="4" w:space="0"/>
            </w:tcBorders>
            <w:shd w:val="clear" w:color="auto" w:fill="auto"/>
            <w:noWrap/>
            <w:vAlign w:val="center"/>
          </w:tcPr>
          <w:p>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465"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492.38</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492.38</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0"/>
            <w:vAlign w:val="center"/>
          </w:tcPr>
          <w:p>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492.38</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492.38</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kern w:val="0"/>
                <w:sz w:val="18"/>
                <w:szCs w:val="18"/>
              </w:rPr>
            </w:pP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kern w:val="0"/>
                <w:sz w:val="18"/>
                <w:szCs w:val="18"/>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Layout w:type="fixed"/>
          <w:tblCellMar>
            <w:top w:w="0" w:type="dxa"/>
            <w:left w:w="108" w:type="dxa"/>
            <w:bottom w:w="0" w:type="dxa"/>
            <w:right w:w="108" w:type="dxa"/>
          </w:tblCellMar>
        </w:tblPrEx>
        <w:trPr>
          <w:gridBefore w:val="1"/>
          <w:wBefore w:w="5" w:type="dxa"/>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492.38</w:t>
            </w:r>
          </w:p>
        </w:tc>
        <w:tc>
          <w:tcPr>
            <w:tcW w:w="2650" w:type="dxa"/>
            <w:tcBorders>
              <w:top w:val="nil"/>
              <w:left w:val="nil"/>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492.38</w:t>
            </w:r>
          </w:p>
        </w:tc>
        <w:tc>
          <w:tcPr>
            <w:tcW w:w="92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492.38</w:t>
            </w:r>
          </w:p>
        </w:tc>
        <w:tc>
          <w:tcPr>
            <w:tcW w:w="800" w:type="dxa"/>
            <w:tcBorders>
              <w:top w:val="nil"/>
              <w:left w:val="single" w:color="auto" w:sz="4" w:space="0"/>
              <w:bottom w:val="single" w:color="auto" w:sz="4" w:space="0"/>
              <w:right w:val="single" w:color="auto" w:sz="4" w:space="0"/>
            </w:tcBorders>
            <w:shd w:val="clear" w:color="auto" w:fill="auto"/>
            <w:noWrap w:val="0"/>
            <w:vAlign w:val="center"/>
          </w:tcPr>
          <w:p>
            <w:pPr>
              <w:jc w:val="left"/>
              <w:rPr>
                <w:rFonts w:ascii="仿宋_GB2312" w:hAnsi="宋体" w:eastAsia="仿宋_GB2312" w:cs="宋体"/>
                <w:b/>
                <w:color w:val="000000"/>
                <w:sz w:val="18"/>
                <w:szCs w:val="18"/>
              </w:rPr>
            </w:pPr>
          </w:p>
        </w:tc>
        <w:tc>
          <w:tcPr>
            <w:tcW w:w="800" w:type="dxa"/>
            <w:gridSpan w:val="2"/>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表5</w:t>
      </w:r>
    </w:p>
    <w:p>
      <w:pPr>
        <w:widowControl/>
        <w:jc w:val="center"/>
        <w:rPr>
          <w:rFonts w:hint="eastAsia"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3"/>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15"/>
        <w:gridCol w:w="13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915"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编制单位：墨玉县第六小学</w:t>
            </w:r>
          </w:p>
        </w:tc>
        <w:tc>
          <w:tcPr>
            <w:tcW w:w="1307"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1" w:type="dxa"/>
        <w:tblInd w:w="93" w:type="dxa"/>
        <w:tblLayout w:type="fixed"/>
        <w:tblCellMar>
          <w:top w:w="0" w:type="dxa"/>
          <w:left w:w="108" w:type="dxa"/>
          <w:bottom w:w="0" w:type="dxa"/>
          <w:right w:w="108" w:type="dxa"/>
        </w:tblCellMar>
      </w:tblPr>
      <w:tblGrid>
        <w:gridCol w:w="568"/>
        <w:gridCol w:w="568"/>
        <w:gridCol w:w="618"/>
        <w:gridCol w:w="2510"/>
        <w:gridCol w:w="1684"/>
        <w:gridCol w:w="1842"/>
        <w:gridCol w:w="1651"/>
      </w:tblGrid>
      <w:tr>
        <w:tblPrEx>
          <w:tblLayout w:type="fixed"/>
          <w:tblCellMar>
            <w:top w:w="0" w:type="dxa"/>
            <w:left w:w="108" w:type="dxa"/>
            <w:bottom w:w="0" w:type="dxa"/>
            <w:right w:w="108" w:type="dxa"/>
          </w:tblCellMar>
        </w:tblPrEx>
        <w:trPr>
          <w:trHeight w:val="405" w:hRule="atLeast"/>
          <w:tblHeader/>
        </w:trPr>
        <w:tc>
          <w:tcPr>
            <w:tcW w:w="4264" w:type="dxa"/>
            <w:gridSpan w:val="4"/>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科目</w:t>
            </w:r>
          </w:p>
        </w:tc>
        <w:tc>
          <w:tcPr>
            <w:tcW w:w="5177"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hint="eastAsia" w:ascii="仿宋_GB2312" w:hAnsi="宋体" w:eastAsia="仿宋_GB2312" w:cs="宋体"/>
                <w:b/>
                <w:bCs/>
                <w:color w:val="000000"/>
                <w:kern w:val="0"/>
                <w:sz w:val="24"/>
                <w:szCs w:val="24"/>
              </w:rPr>
              <w:t>一般公共预算支出</w:t>
            </w:r>
          </w:p>
        </w:tc>
      </w:tr>
      <w:tr>
        <w:tblPrEx>
          <w:tblLayout w:type="fixed"/>
          <w:tblCellMar>
            <w:top w:w="0" w:type="dxa"/>
            <w:left w:w="108" w:type="dxa"/>
            <w:bottom w:w="0" w:type="dxa"/>
            <w:right w:w="108" w:type="dxa"/>
          </w:tblCellMar>
        </w:tblPrEx>
        <w:trPr>
          <w:trHeight w:val="465" w:hRule="atLeast"/>
          <w:tblHeader/>
        </w:trPr>
        <w:tc>
          <w:tcPr>
            <w:tcW w:w="1754"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684"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842"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65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tblPrEx>
          <w:tblLayout w:type="fixed"/>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842"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65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教育支出</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492.38</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479.00</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13.38</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普通教育</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492.38</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479.00</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13.38</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205</w:t>
            </w: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小学教育</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492.38</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479.00</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13.38</w:t>
            </w:r>
          </w:p>
        </w:tc>
      </w:tr>
      <w:tr>
        <w:tblPrEx>
          <w:tblLayout w:type="fixed"/>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56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6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  计</w:t>
            </w:r>
          </w:p>
        </w:tc>
        <w:tc>
          <w:tcPr>
            <w:tcW w:w="1684"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492.38</w:t>
            </w:r>
          </w:p>
        </w:tc>
        <w:tc>
          <w:tcPr>
            <w:tcW w:w="1842"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479.00</w:t>
            </w:r>
          </w:p>
        </w:tc>
        <w:tc>
          <w:tcPr>
            <w:tcW w:w="16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13.38</w:t>
            </w:r>
          </w:p>
        </w:tc>
      </w:tr>
    </w:tbl>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表6</w:t>
      </w:r>
    </w:p>
    <w:p>
      <w:pPr>
        <w:widowControl/>
        <w:jc w:val="center"/>
        <w:outlineLvl w:val="1"/>
        <w:rPr>
          <w:rFonts w:hint="eastAsia"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3"/>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26"/>
        <w:gridCol w:w="13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026"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编制单位：墨玉县第六小学</w:t>
            </w:r>
          </w:p>
        </w:tc>
        <w:tc>
          <w:tcPr>
            <w:tcW w:w="130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328" w:type="dxa"/>
        <w:tblInd w:w="93" w:type="dxa"/>
        <w:tblLayout w:type="fixed"/>
        <w:tblCellMar>
          <w:top w:w="0" w:type="dxa"/>
          <w:left w:w="108" w:type="dxa"/>
          <w:bottom w:w="0" w:type="dxa"/>
          <w:right w:w="108" w:type="dxa"/>
        </w:tblCellMar>
      </w:tblPr>
      <w:tblGrid>
        <w:gridCol w:w="757"/>
        <w:gridCol w:w="577"/>
        <w:gridCol w:w="2891"/>
        <w:gridCol w:w="1701"/>
        <w:gridCol w:w="1701"/>
        <w:gridCol w:w="1701"/>
      </w:tblGrid>
      <w:tr>
        <w:tblPrEx>
          <w:tblLayout w:type="fixed"/>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noWrap w:val="0"/>
            <w:vAlign w:val="center"/>
          </w:tcPr>
          <w:p>
            <w:pPr>
              <w:widowControl/>
              <w:jc w:val="center"/>
              <w:rPr>
                <w:rFonts w:ascii="仿宋_GB2312" w:hAnsi="宋体" w:eastAsia="仿宋_GB2312" w:cs="宋体"/>
                <w:b/>
                <w:bCs/>
                <w:color w:val="000000"/>
                <w:kern w:val="0"/>
                <w:sz w:val="24"/>
                <w:szCs w:val="24"/>
              </w:rPr>
            </w:pPr>
            <w:r>
              <w:rPr>
                <w:rFonts w:ascii="仿宋_GB2312" w:hAnsi="宋体" w:eastAsia="仿宋_GB2312" w:cs="宋体"/>
                <w:b/>
                <w:bCs/>
                <w:color w:val="000000"/>
                <w:kern w:val="0"/>
                <w:sz w:val="24"/>
                <w:szCs w:val="24"/>
              </w:rPr>
              <w:t>一般公共预算基本支出</w:t>
            </w:r>
          </w:p>
        </w:tc>
      </w:tr>
      <w:tr>
        <w:tblPrEx>
          <w:tblLayout w:type="fixed"/>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tblPrEx>
          <w:tblLayout w:type="fixed"/>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_GB2312" w:hAnsi="宋体" w:eastAsia="仿宋_GB2312" w:cs="宋体"/>
                <w:b/>
                <w:bCs/>
                <w:color w:val="000000"/>
                <w:kern w:val="0"/>
                <w:sz w:val="20"/>
                <w:szCs w:val="20"/>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479.00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479.00</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95.95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95.95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116.92</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116.92</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79.09</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79.09</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75.09</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75.09</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50.84</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50.84</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20.65</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20.65</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2.33</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2.33</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38.13</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38.13</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color w:val="000000"/>
                <w:kern w:val="0"/>
                <w:sz w:val="18"/>
                <w:szCs w:val="18"/>
              </w:rPr>
            </w:pPr>
          </w:p>
        </w:tc>
      </w:tr>
      <w:tr>
        <w:tblPrEx>
          <w:tblLayout w:type="fixed"/>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  计</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479.00</w:t>
            </w:r>
          </w:p>
        </w:tc>
        <w:tc>
          <w:tcPr>
            <w:tcW w:w="1701" w:type="dxa"/>
            <w:tcBorders>
              <w:top w:val="nil"/>
              <w:left w:val="nil"/>
              <w:bottom w:val="single" w:color="auto" w:sz="4" w:space="0"/>
              <w:right w:val="single" w:color="auto" w:sz="4" w:space="0"/>
            </w:tcBorders>
            <w:shd w:val="clear" w:color="auto" w:fill="auto"/>
            <w:noWrap w:val="0"/>
            <w:vAlign w:val="center"/>
          </w:tcPr>
          <w:p>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479.00</w:t>
            </w:r>
          </w:p>
        </w:tc>
        <w:tc>
          <w:tcPr>
            <w:tcW w:w="170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color w:val="000000"/>
                <w:kern w:val="0"/>
                <w:sz w:val="18"/>
                <w:szCs w:val="18"/>
              </w:rPr>
            </w:pPr>
          </w:p>
        </w:tc>
      </w:tr>
    </w:tbl>
    <w:p>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表7</w:t>
      </w:r>
    </w:p>
    <w:p>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3"/>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50"/>
        <w:gridCol w:w="2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145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编制单位：墨玉县第六小学</w:t>
            </w:r>
          </w:p>
        </w:tc>
        <w:tc>
          <w:tcPr>
            <w:tcW w:w="2720" w:type="dxa"/>
            <w:tcBorders>
              <w:top w:val="nil"/>
              <w:left w:val="nil"/>
              <w:bottom w:val="nil"/>
              <w:right w:val="nil"/>
            </w:tcBorders>
          </w:tcPr>
          <w:p>
            <w:pPr>
              <w:widowControl/>
              <w:jc w:val="right"/>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pPr>
              <w:jc w:val="center"/>
              <w:rPr>
                <w:sz w:val="20"/>
                <w:szCs w:val="20"/>
              </w:rPr>
            </w:pPr>
            <w:r>
              <w:rPr>
                <w:rFonts w:hint="eastAsia" w:ascii="仿宋_GB2312" w:hAnsi="宋体" w:eastAsia="仿宋_GB2312" w:cs="宋体"/>
                <w:b/>
                <w:sz w:val="20"/>
                <w:szCs w:val="20"/>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2" w:hRule="atLeast"/>
          <w:tblHeader/>
        </w:trPr>
        <w:tc>
          <w:tcPr>
            <w:tcW w:w="534" w:type="dxa"/>
            <w:shd w:val="clear" w:color="auto" w:fill="auto"/>
            <w:vAlign w:val="center"/>
          </w:tcPr>
          <w:p>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pPr>
              <w:jc w:val="center"/>
              <w:rPr>
                <w:sz w:val="20"/>
                <w:szCs w:val="20"/>
              </w:rPr>
            </w:pPr>
          </w:p>
        </w:tc>
        <w:tc>
          <w:tcPr>
            <w:tcW w:w="2170" w:type="dxa"/>
            <w:vMerge w:val="continue"/>
            <w:shd w:val="clear" w:color="auto" w:fill="auto"/>
            <w:vAlign w:val="center"/>
          </w:tcPr>
          <w:p>
            <w:pPr>
              <w:jc w:val="center"/>
              <w:rPr>
                <w:sz w:val="20"/>
                <w:szCs w:val="20"/>
              </w:rPr>
            </w:pPr>
          </w:p>
        </w:tc>
        <w:tc>
          <w:tcPr>
            <w:tcW w:w="950" w:type="dxa"/>
            <w:vMerge w:val="continue"/>
            <w:shd w:val="clear" w:color="auto" w:fill="auto"/>
            <w:vAlign w:val="center"/>
          </w:tcPr>
          <w:p>
            <w:pPr>
              <w:jc w:val="center"/>
              <w:rPr>
                <w:sz w:val="20"/>
                <w:szCs w:val="20"/>
              </w:rPr>
            </w:pPr>
          </w:p>
        </w:tc>
        <w:tc>
          <w:tcPr>
            <w:tcW w:w="720" w:type="dxa"/>
            <w:vMerge w:val="continue"/>
            <w:shd w:val="clear" w:color="auto" w:fill="auto"/>
            <w:vAlign w:val="center"/>
          </w:tcPr>
          <w:p>
            <w:pPr>
              <w:jc w:val="center"/>
              <w:rPr>
                <w:sz w:val="20"/>
                <w:szCs w:val="20"/>
              </w:rPr>
            </w:pPr>
          </w:p>
        </w:tc>
        <w:tc>
          <w:tcPr>
            <w:tcW w:w="820" w:type="dxa"/>
            <w:vMerge w:val="continue"/>
            <w:shd w:val="clear" w:color="auto" w:fill="auto"/>
            <w:vAlign w:val="center"/>
          </w:tcPr>
          <w:p>
            <w:pPr>
              <w:jc w:val="center"/>
              <w:rPr>
                <w:sz w:val="20"/>
                <w:szCs w:val="20"/>
              </w:rPr>
            </w:pPr>
          </w:p>
        </w:tc>
        <w:tc>
          <w:tcPr>
            <w:tcW w:w="670" w:type="dxa"/>
            <w:vMerge w:val="continue"/>
            <w:shd w:val="clear" w:color="auto" w:fill="auto"/>
            <w:vAlign w:val="center"/>
          </w:tcPr>
          <w:p>
            <w:pPr>
              <w:jc w:val="center"/>
              <w:rPr>
                <w:sz w:val="20"/>
                <w:szCs w:val="20"/>
              </w:rPr>
            </w:pPr>
          </w:p>
        </w:tc>
        <w:tc>
          <w:tcPr>
            <w:tcW w:w="710" w:type="dxa"/>
            <w:vMerge w:val="continue"/>
            <w:shd w:val="clear" w:color="auto" w:fill="auto"/>
            <w:vAlign w:val="center"/>
          </w:tcPr>
          <w:p>
            <w:pPr>
              <w:jc w:val="center"/>
              <w:rPr>
                <w:sz w:val="20"/>
                <w:szCs w:val="20"/>
              </w:rPr>
            </w:pPr>
          </w:p>
        </w:tc>
        <w:tc>
          <w:tcPr>
            <w:tcW w:w="700" w:type="dxa"/>
            <w:vMerge w:val="continue"/>
            <w:shd w:val="clear" w:color="auto" w:fill="auto"/>
            <w:vAlign w:val="center"/>
          </w:tcPr>
          <w:p>
            <w:pPr>
              <w:jc w:val="center"/>
              <w:rPr>
                <w:sz w:val="20"/>
                <w:szCs w:val="20"/>
              </w:rPr>
            </w:pPr>
          </w:p>
        </w:tc>
        <w:tc>
          <w:tcPr>
            <w:tcW w:w="710" w:type="dxa"/>
            <w:vMerge w:val="continue"/>
            <w:shd w:val="clear" w:color="auto" w:fill="auto"/>
            <w:vAlign w:val="center"/>
          </w:tcPr>
          <w:p>
            <w:pPr>
              <w:jc w:val="center"/>
              <w:rPr>
                <w:sz w:val="20"/>
                <w:szCs w:val="20"/>
              </w:rPr>
            </w:pPr>
          </w:p>
        </w:tc>
        <w:tc>
          <w:tcPr>
            <w:tcW w:w="790" w:type="dxa"/>
            <w:vMerge w:val="continue"/>
            <w:shd w:val="clear" w:color="auto" w:fill="auto"/>
          </w:tcPr>
          <w:p>
            <w:pPr>
              <w:jc w:val="center"/>
              <w:rPr>
                <w:sz w:val="20"/>
                <w:szCs w:val="20"/>
              </w:rPr>
            </w:pPr>
          </w:p>
        </w:tc>
        <w:tc>
          <w:tcPr>
            <w:tcW w:w="640" w:type="dxa"/>
            <w:vMerge w:val="continue"/>
            <w:shd w:val="clear" w:color="auto" w:fill="auto"/>
            <w:vAlign w:val="center"/>
          </w:tcPr>
          <w:p>
            <w:pPr>
              <w:jc w:val="center"/>
              <w:rPr>
                <w:sz w:val="20"/>
                <w:szCs w:val="20"/>
              </w:rPr>
            </w:pPr>
          </w:p>
        </w:tc>
        <w:tc>
          <w:tcPr>
            <w:tcW w:w="700" w:type="dxa"/>
            <w:vMerge w:val="continue"/>
            <w:shd w:val="clear" w:color="auto" w:fill="auto"/>
          </w:tcPr>
          <w:p>
            <w:pPr>
              <w:jc w:val="center"/>
              <w:rPr>
                <w:sz w:val="20"/>
                <w:szCs w:val="20"/>
              </w:rPr>
            </w:pPr>
          </w:p>
        </w:tc>
        <w:tc>
          <w:tcPr>
            <w:tcW w:w="620" w:type="dxa"/>
            <w:vMerge w:val="continue"/>
            <w:shd w:val="clear" w:color="auto" w:fill="auto"/>
          </w:tcPr>
          <w:p>
            <w:pPr>
              <w:jc w:val="center"/>
              <w:rPr>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教育支出</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13.38</w:t>
            </w:r>
          </w:p>
        </w:tc>
        <w:tc>
          <w:tcPr>
            <w:tcW w:w="720" w:type="dxa"/>
            <w:shd w:val="clear" w:color="auto" w:fill="auto"/>
            <w:vAlign w:val="center"/>
          </w:tcPr>
          <w:p>
            <w:pPr>
              <w:jc w:val="right"/>
              <w:rPr>
                <w:rFonts w:hint="eastAsia" w:ascii="仿宋_GB2312" w:hAnsi="宋体" w:eastAsia="仿宋_GB2312" w:cs="宋体"/>
                <w:b/>
                <w:sz w:val="18"/>
                <w:szCs w:val="18"/>
              </w:rPr>
            </w:pP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13.38</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205</w:t>
            </w:r>
          </w:p>
        </w:tc>
        <w:tc>
          <w:tcPr>
            <w:tcW w:w="567"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02</w:t>
            </w: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r>
              <w:rPr>
                <w:rFonts w:hint="eastAsia" w:ascii="仿宋_GB2312" w:hAnsi="宋体" w:eastAsia="仿宋_GB2312" w:cs="宋体"/>
                <w:b/>
                <w:kern w:val="0"/>
                <w:sz w:val="18"/>
                <w:szCs w:val="18"/>
              </w:rPr>
              <w:t>普通教育</w:t>
            </w:r>
          </w:p>
        </w:tc>
        <w:tc>
          <w:tcPr>
            <w:tcW w:w="2170" w:type="dxa"/>
            <w:shd w:val="clear" w:color="auto" w:fill="auto"/>
            <w:vAlign w:val="center"/>
          </w:tcPr>
          <w:p>
            <w:pPr>
              <w:jc w:val="left"/>
              <w:rPr>
                <w:rFonts w:hint="eastAsia" w:ascii="仿宋_GB2312" w:hAnsi="宋体" w:eastAsia="仿宋_GB2312" w:cs="宋体"/>
                <w:b/>
                <w:sz w:val="18"/>
                <w:szCs w:val="18"/>
              </w:rPr>
            </w:pP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13.38</w:t>
            </w:r>
          </w:p>
        </w:tc>
        <w:tc>
          <w:tcPr>
            <w:tcW w:w="720" w:type="dxa"/>
            <w:shd w:val="clear" w:color="auto" w:fill="auto"/>
            <w:vAlign w:val="center"/>
          </w:tcPr>
          <w:p>
            <w:pPr>
              <w:jc w:val="right"/>
              <w:rPr>
                <w:rFonts w:hint="eastAsia" w:ascii="仿宋_GB2312" w:hAnsi="宋体" w:eastAsia="仿宋_GB2312" w:cs="宋体"/>
                <w:b/>
                <w:sz w:val="18"/>
                <w:szCs w:val="18"/>
              </w:rPr>
            </w:pP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13.38</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2024年义务教育特教阶段公用经费（第二批中央直达资金）（和地财教</w:t>
            </w:r>
            <w:r>
              <w:rPr>
                <w:rFonts w:hint="eastAsia" w:ascii="仿宋_GB2312" w:hAnsi="宋体" w:eastAsia="仿宋_GB2312" w:cs="宋体"/>
                <w:kern w:val="0"/>
                <w:sz w:val="18"/>
                <w:szCs w:val="18"/>
                <w:lang w:eastAsia="zh-CN"/>
              </w:rPr>
              <w:t>〔2024〕18号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0.01</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0.01</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〔2024〕12号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7.14</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7.14</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〔2024〕23号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0.06</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0.06</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2023年义务教育特教阶段公用经费自治区第二批直达资金（和地财教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0.17</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0.17</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义务教育小学阶段公用经费（自治区直达资金）（和地财教</w:t>
            </w:r>
            <w:r>
              <w:rPr>
                <w:rFonts w:hint="eastAsia" w:ascii="仿宋_GB2312" w:hAnsi="宋体" w:eastAsia="仿宋_GB2312" w:cs="宋体"/>
                <w:kern w:val="0"/>
                <w:sz w:val="18"/>
                <w:szCs w:val="18"/>
                <w:lang w:eastAsia="zh-CN"/>
              </w:rPr>
              <w:t>〔2023〕70号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〔2024〕25号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0.64</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0.64</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义务教育特教阶段随班就读学生公用经费（中央直达资金）（和地财教</w:t>
            </w:r>
            <w:r>
              <w:rPr>
                <w:rFonts w:hint="eastAsia" w:ascii="仿宋_GB2312" w:hAnsi="宋体" w:eastAsia="仿宋_GB2312" w:cs="宋体"/>
                <w:kern w:val="0"/>
                <w:sz w:val="18"/>
                <w:szCs w:val="18"/>
                <w:lang w:eastAsia="zh-CN"/>
              </w:rPr>
              <w:t>〔2023〕60号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〔2024〕9号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1.45</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1.45</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205</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567" w:type="dxa"/>
            <w:shd w:val="clear" w:color="auto" w:fill="auto"/>
            <w:vAlign w:val="center"/>
          </w:tcPr>
          <w:p>
            <w:pPr>
              <w:jc w:val="center"/>
              <w:rPr>
                <w:rFonts w:hint="eastAsia" w:ascii="仿宋_GB2312" w:hAnsi="宋体" w:eastAsia="仿宋_GB2312" w:cs="宋体"/>
                <w:sz w:val="18"/>
                <w:szCs w:val="18"/>
              </w:rPr>
            </w:pPr>
            <w:r>
              <w:rPr>
                <w:rFonts w:hint="eastAsia" w:ascii="仿宋_GB2312" w:hAnsi="宋体" w:eastAsia="仿宋_GB2312" w:cs="宋体"/>
                <w:kern w:val="0"/>
                <w:sz w:val="18"/>
                <w:szCs w:val="18"/>
              </w:rPr>
              <w:t>02</w:t>
            </w:r>
          </w:p>
        </w:tc>
        <w:tc>
          <w:tcPr>
            <w:tcW w:w="2321"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小学教育</w:t>
            </w:r>
          </w:p>
        </w:tc>
        <w:tc>
          <w:tcPr>
            <w:tcW w:w="2170" w:type="dxa"/>
            <w:shd w:val="clear" w:color="auto" w:fill="auto"/>
            <w:vAlign w:val="center"/>
          </w:tcPr>
          <w:p>
            <w:pPr>
              <w:jc w:val="left"/>
              <w:rPr>
                <w:rFonts w:hint="eastAsia" w:ascii="仿宋_GB2312" w:hAnsi="宋体" w:eastAsia="仿宋_GB2312" w:cs="宋体"/>
                <w:sz w:val="18"/>
                <w:szCs w:val="18"/>
              </w:rPr>
            </w:pPr>
            <w:r>
              <w:rPr>
                <w:rFonts w:hint="eastAsia" w:ascii="仿宋_GB2312" w:hAnsi="宋体" w:eastAsia="仿宋_GB2312" w:cs="宋体"/>
                <w:kern w:val="0"/>
                <w:sz w:val="18"/>
                <w:szCs w:val="18"/>
              </w:rPr>
              <w:t>2023年义务教育小学阶段公用经费自治区第二批直达资金（和地财教</w:t>
            </w:r>
            <w:r>
              <w:rPr>
                <w:rFonts w:hint="eastAsia" w:ascii="仿宋_GB2312" w:hAnsi="宋体" w:eastAsia="仿宋_GB2312" w:cs="宋体"/>
                <w:kern w:val="0"/>
                <w:sz w:val="18"/>
                <w:szCs w:val="18"/>
                <w:lang w:eastAsia="zh-CN"/>
              </w:rPr>
              <w:t>〔2023〕44号</w:t>
            </w:r>
            <w:r>
              <w:rPr>
                <w:rFonts w:hint="eastAsia" w:ascii="仿宋_GB2312" w:hAnsi="宋体" w:eastAsia="仿宋_GB2312" w:cs="宋体"/>
                <w:kern w:val="0"/>
                <w:sz w:val="18"/>
                <w:szCs w:val="18"/>
              </w:rPr>
              <w:t>、墨财教</w:t>
            </w:r>
            <w:r>
              <w:rPr>
                <w:rFonts w:hint="eastAsia" w:ascii="仿宋_GB2312" w:hAnsi="宋体" w:eastAsia="仿宋_GB2312" w:cs="宋体"/>
                <w:kern w:val="0"/>
                <w:sz w:val="18"/>
                <w:szCs w:val="18"/>
                <w:lang w:eastAsia="zh-CN"/>
              </w:rPr>
              <w:t>〔2023〕48号</w:t>
            </w:r>
            <w:r>
              <w:rPr>
                <w:rFonts w:hint="eastAsia" w:ascii="仿宋_GB2312" w:hAnsi="宋体" w:eastAsia="仿宋_GB2312" w:cs="宋体"/>
                <w:kern w:val="0"/>
                <w:sz w:val="18"/>
                <w:szCs w:val="18"/>
              </w:rPr>
              <w:t>)</w:t>
            </w:r>
          </w:p>
        </w:tc>
        <w:tc>
          <w:tcPr>
            <w:tcW w:w="950" w:type="dxa"/>
            <w:shd w:val="clear" w:color="auto" w:fill="auto"/>
            <w:vAlign w:val="center"/>
          </w:tcPr>
          <w:p>
            <w:pPr>
              <w:ind w:right="-29" w:rightChars="-14"/>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3.91</w:t>
            </w:r>
          </w:p>
        </w:tc>
        <w:tc>
          <w:tcPr>
            <w:tcW w:w="720" w:type="dxa"/>
            <w:shd w:val="clear" w:color="auto" w:fill="auto"/>
            <w:vAlign w:val="center"/>
          </w:tcPr>
          <w:p>
            <w:pPr>
              <w:jc w:val="right"/>
              <w:rPr>
                <w:rFonts w:hint="eastAsia" w:ascii="仿宋_GB2312" w:hAnsi="宋体" w:eastAsia="仿宋_GB2312" w:cs="宋体"/>
                <w:sz w:val="18"/>
                <w:szCs w:val="18"/>
              </w:rPr>
            </w:pPr>
          </w:p>
        </w:tc>
        <w:tc>
          <w:tcPr>
            <w:tcW w:w="820" w:type="dxa"/>
            <w:shd w:val="clear" w:color="auto" w:fill="auto"/>
            <w:vAlign w:val="center"/>
          </w:tcPr>
          <w:p>
            <w:pPr>
              <w:jc w:val="right"/>
              <w:rPr>
                <w:rFonts w:hint="eastAsia" w:ascii="仿宋_GB2312" w:hAnsi="宋体" w:eastAsia="仿宋_GB2312" w:cs="宋体"/>
                <w:sz w:val="18"/>
                <w:szCs w:val="18"/>
              </w:rPr>
            </w:pPr>
            <w:r>
              <w:rPr>
                <w:rFonts w:hint="eastAsia" w:ascii="仿宋_GB2312" w:hAnsi="宋体" w:eastAsia="仿宋_GB2312" w:cs="宋体"/>
                <w:kern w:val="0"/>
                <w:sz w:val="18"/>
                <w:szCs w:val="18"/>
              </w:rPr>
              <w:t>3.91</w:t>
            </w:r>
          </w:p>
        </w:tc>
        <w:tc>
          <w:tcPr>
            <w:tcW w:w="67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710" w:type="dxa"/>
            <w:shd w:val="clear" w:color="auto" w:fill="auto"/>
            <w:vAlign w:val="center"/>
          </w:tcPr>
          <w:p>
            <w:pPr>
              <w:jc w:val="right"/>
              <w:rPr>
                <w:rFonts w:hint="eastAsia" w:ascii="仿宋_GB2312" w:hAnsi="宋体" w:eastAsia="仿宋_GB2312" w:cs="宋体"/>
                <w:sz w:val="18"/>
                <w:szCs w:val="18"/>
              </w:rPr>
            </w:pPr>
          </w:p>
        </w:tc>
        <w:tc>
          <w:tcPr>
            <w:tcW w:w="790" w:type="dxa"/>
            <w:shd w:val="clear" w:color="auto" w:fill="auto"/>
            <w:vAlign w:val="center"/>
          </w:tcPr>
          <w:p>
            <w:pPr>
              <w:jc w:val="right"/>
              <w:rPr>
                <w:rFonts w:hint="eastAsia" w:ascii="仿宋_GB2312" w:hAnsi="宋体" w:eastAsia="仿宋_GB2312" w:cs="宋体"/>
                <w:sz w:val="18"/>
                <w:szCs w:val="18"/>
              </w:rPr>
            </w:pPr>
          </w:p>
        </w:tc>
        <w:tc>
          <w:tcPr>
            <w:tcW w:w="640" w:type="dxa"/>
            <w:shd w:val="clear" w:color="auto" w:fill="auto"/>
            <w:vAlign w:val="center"/>
          </w:tcPr>
          <w:p>
            <w:pPr>
              <w:jc w:val="right"/>
              <w:rPr>
                <w:rFonts w:hint="eastAsia" w:ascii="仿宋_GB2312" w:hAnsi="宋体" w:eastAsia="仿宋_GB2312" w:cs="宋体"/>
                <w:sz w:val="18"/>
                <w:szCs w:val="18"/>
              </w:rPr>
            </w:pPr>
          </w:p>
        </w:tc>
        <w:tc>
          <w:tcPr>
            <w:tcW w:w="700" w:type="dxa"/>
            <w:shd w:val="clear" w:color="auto" w:fill="auto"/>
            <w:vAlign w:val="center"/>
          </w:tcPr>
          <w:p>
            <w:pPr>
              <w:jc w:val="right"/>
              <w:rPr>
                <w:rFonts w:hint="eastAsia" w:ascii="仿宋_GB2312" w:hAnsi="宋体" w:eastAsia="仿宋_GB2312" w:cs="宋体"/>
                <w:sz w:val="18"/>
                <w:szCs w:val="18"/>
              </w:rPr>
            </w:pPr>
          </w:p>
        </w:tc>
        <w:tc>
          <w:tcPr>
            <w:tcW w:w="620" w:type="dxa"/>
            <w:shd w:val="clear" w:color="auto" w:fill="auto"/>
            <w:vAlign w:val="center"/>
          </w:tcPr>
          <w:p>
            <w:pPr>
              <w:jc w:val="right"/>
              <w:rPr>
                <w:rFonts w:hint="eastAsia" w:ascii="仿宋_GB2312" w:hAnsi="宋体" w:eastAsia="仿宋_GB2312" w:cs="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1" w:hRule="atLeast"/>
        </w:trPr>
        <w:tc>
          <w:tcPr>
            <w:tcW w:w="534"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567" w:type="dxa"/>
            <w:shd w:val="clear" w:color="auto" w:fill="auto"/>
            <w:vAlign w:val="center"/>
          </w:tcPr>
          <w:p>
            <w:pPr>
              <w:jc w:val="center"/>
              <w:rPr>
                <w:rFonts w:hint="eastAsia" w:ascii="仿宋_GB2312" w:hAnsi="宋体" w:eastAsia="仿宋_GB2312" w:cs="宋体"/>
                <w:b/>
                <w:sz w:val="18"/>
                <w:szCs w:val="18"/>
              </w:rPr>
            </w:pPr>
          </w:p>
        </w:tc>
        <w:tc>
          <w:tcPr>
            <w:tcW w:w="2321" w:type="dxa"/>
            <w:shd w:val="clear" w:color="auto" w:fill="auto"/>
            <w:vAlign w:val="center"/>
          </w:tcPr>
          <w:p>
            <w:pPr>
              <w:jc w:val="left"/>
              <w:rPr>
                <w:rFonts w:hint="eastAsia" w:ascii="仿宋_GB2312" w:hAnsi="宋体" w:eastAsia="仿宋_GB2312" w:cs="宋体"/>
                <w:b/>
                <w:sz w:val="18"/>
                <w:szCs w:val="18"/>
              </w:rPr>
            </w:pPr>
          </w:p>
        </w:tc>
        <w:tc>
          <w:tcPr>
            <w:tcW w:w="2170" w:type="dxa"/>
            <w:shd w:val="clear" w:color="auto" w:fill="auto"/>
            <w:vAlign w:val="center"/>
          </w:tcPr>
          <w:p>
            <w:pPr>
              <w:jc w:val="center"/>
              <w:rPr>
                <w:rFonts w:hint="eastAsia" w:ascii="仿宋_GB2312" w:hAnsi="宋体" w:eastAsia="仿宋_GB2312" w:cs="宋体"/>
                <w:b/>
                <w:sz w:val="18"/>
                <w:szCs w:val="18"/>
              </w:rPr>
            </w:pPr>
            <w:r>
              <w:rPr>
                <w:rFonts w:hint="eastAsia" w:ascii="仿宋_GB2312" w:hAnsi="宋体" w:eastAsia="仿宋_GB2312" w:cs="宋体"/>
                <w:b/>
                <w:kern w:val="0"/>
                <w:sz w:val="18"/>
                <w:szCs w:val="18"/>
              </w:rPr>
              <w:t>合 计</w:t>
            </w:r>
          </w:p>
        </w:tc>
        <w:tc>
          <w:tcPr>
            <w:tcW w:w="950" w:type="dxa"/>
            <w:shd w:val="clear" w:color="auto" w:fill="auto"/>
            <w:vAlign w:val="center"/>
          </w:tcPr>
          <w:p>
            <w:pPr>
              <w:ind w:right="-29" w:rightChars="-14"/>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13.38</w:t>
            </w:r>
          </w:p>
        </w:tc>
        <w:tc>
          <w:tcPr>
            <w:tcW w:w="720" w:type="dxa"/>
            <w:shd w:val="clear" w:color="auto" w:fill="auto"/>
            <w:vAlign w:val="center"/>
          </w:tcPr>
          <w:p>
            <w:pPr>
              <w:jc w:val="right"/>
              <w:rPr>
                <w:rFonts w:hint="eastAsia" w:ascii="仿宋_GB2312" w:hAnsi="宋体" w:eastAsia="仿宋_GB2312" w:cs="宋体"/>
                <w:b/>
                <w:sz w:val="18"/>
                <w:szCs w:val="18"/>
              </w:rPr>
            </w:pPr>
          </w:p>
        </w:tc>
        <w:tc>
          <w:tcPr>
            <w:tcW w:w="820" w:type="dxa"/>
            <w:shd w:val="clear" w:color="auto" w:fill="auto"/>
            <w:vAlign w:val="center"/>
          </w:tcPr>
          <w:p>
            <w:pPr>
              <w:jc w:val="right"/>
              <w:rPr>
                <w:rFonts w:hint="eastAsia" w:ascii="仿宋_GB2312" w:hAnsi="宋体" w:eastAsia="仿宋_GB2312" w:cs="宋体"/>
                <w:b/>
                <w:sz w:val="18"/>
                <w:szCs w:val="18"/>
              </w:rPr>
            </w:pPr>
            <w:r>
              <w:rPr>
                <w:rFonts w:hint="eastAsia" w:ascii="仿宋_GB2312" w:hAnsi="宋体" w:eastAsia="仿宋_GB2312" w:cs="宋体"/>
                <w:b/>
                <w:kern w:val="0"/>
                <w:sz w:val="18"/>
                <w:szCs w:val="18"/>
              </w:rPr>
              <w:t>13.38</w:t>
            </w:r>
          </w:p>
        </w:tc>
        <w:tc>
          <w:tcPr>
            <w:tcW w:w="67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710" w:type="dxa"/>
            <w:shd w:val="clear" w:color="auto" w:fill="auto"/>
            <w:vAlign w:val="center"/>
          </w:tcPr>
          <w:p>
            <w:pPr>
              <w:jc w:val="right"/>
              <w:rPr>
                <w:rFonts w:hint="eastAsia" w:ascii="仿宋_GB2312" w:hAnsi="宋体" w:eastAsia="仿宋_GB2312" w:cs="宋体"/>
                <w:b/>
                <w:sz w:val="18"/>
                <w:szCs w:val="18"/>
              </w:rPr>
            </w:pPr>
          </w:p>
        </w:tc>
        <w:tc>
          <w:tcPr>
            <w:tcW w:w="790" w:type="dxa"/>
            <w:shd w:val="clear" w:color="auto" w:fill="auto"/>
            <w:vAlign w:val="center"/>
          </w:tcPr>
          <w:p>
            <w:pPr>
              <w:jc w:val="right"/>
              <w:rPr>
                <w:rFonts w:hint="eastAsia" w:ascii="仿宋_GB2312" w:hAnsi="宋体" w:eastAsia="仿宋_GB2312" w:cs="宋体"/>
                <w:b/>
                <w:sz w:val="18"/>
                <w:szCs w:val="18"/>
              </w:rPr>
            </w:pPr>
          </w:p>
        </w:tc>
        <w:tc>
          <w:tcPr>
            <w:tcW w:w="640" w:type="dxa"/>
            <w:shd w:val="clear" w:color="auto" w:fill="auto"/>
            <w:vAlign w:val="center"/>
          </w:tcPr>
          <w:p>
            <w:pPr>
              <w:jc w:val="right"/>
              <w:rPr>
                <w:rFonts w:hint="eastAsia" w:ascii="仿宋_GB2312" w:hAnsi="宋体" w:eastAsia="仿宋_GB2312" w:cs="宋体"/>
                <w:b/>
                <w:sz w:val="18"/>
                <w:szCs w:val="18"/>
              </w:rPr>
            </w:pPr>
          </w:p>
        </w:tc>
        <w:tc>
          <w:tcPr>
            <w:tcW w:w="700" w:type="dxa"/>
            <w:shd w:val="clear" w:color="auto" w:fill="auto"/>
            <w:vAlign w:val="center"/>
          </w:tcPr>
          <w:p>
            <w:pPr>
              <w:jc w:val="right"/>
              <w:rPr>
                <w:rFonts w:hint="eastAsia" w:ascii="仿宋_GB2312" w:hAnsi="宋体" w:eastAsia="仿宋_GB2312" w:cs="宋体"/>
                <w:b/>
                <w:sz w:val="18"/>
                <w:szCs w:val="18"/>
              </w:rPr>
            </w:pPr>
          </w:p>
        </w:tc>
        <w:tc>
          <w:tcPr>
            <w:tcW w:w="620" w:type="dxa"/>
            <w:shd w:val="clear" w:color="auto" w:fill="auto"/>
            <w:vAlign w:val="center"/>
          </w:tcPr>
          <w:p>
            <w:pPr>
              <w:jc w:val="right"/>
              <w:rPr>
                <w:rFonts w:hint="eastAsia" w:ascii="仿宋_GB2312" w:hAnsi="宋体" w:eastAsia="仿宋_GB2312" w:cs="宋体"/>
                <w:b/>
                <w:sz w:val="18"/>
                <w:szCs w:val="18"/>
              </w:rPr>
            </w:pPr>
          </w:p>
        </w:tc>
      </w:tr>
    </w:tbl>
    <w:p>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pPr>
        <w:widowControl/>
        <w:jc w:val="left"/>
        <w:outlineLvl w:val="1"/>
        <w:rPr>
          <w:rFonts w:ascii="仿宋_GB2312" w:hAnsi="宋体" w:eastAsia="仿宋_GB2312"/>
          <w:b/>
          <w:kern w:val="0"/>
          <w:sz w:val="32"/>
          <w:szCs w:val="32"/>
        </w:rPr>
      </w:pPr>
      <w:r>
        <w:rPr>
          <w:rFonts w:hint="eastAsia" w:ascii="宋体" w:hAnsi="宋体" w:eastAsia="宋体" w:cs="宋体"/>
          <w:kern w:val="0"/>
          <w:sz w:val="20"/>
          <w:szCs w:val="20"/>
        </w:rPr>
        <w:t>表8</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8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编制单位：墨玉县第六小学</w:t>
            </w:r>
          </w:p>
        </w:tc>
        <w:tc>
          <w:tcPr>
            <w:tcW w:w="131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tblPrEx>
          <w:tblLayout w:type="fixed"/>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tblPrEx>
          <w:tblLayout w:type="fixed"/>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tblPrEx>
          <w:tblLayout w:type="fixed"/>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备注：墨玉县第六小学2025年无政府性基金预算安排的支出，政府性基金预算支出情况表为空表。</w:t>
      </w: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表9</w:t>
      </w:r>
    </w:p>
    <w:p>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3"/>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80"/>
        <w:gridCol w:w="13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80"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编制单位：墨玉县第六小学</w:t>
            </w:r>
          </w:p>
        </w:tc>
        <w:tc>
          <w:tcPr>
            <w:tcW w:w="1318"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14" w:type="dxa"/>
        <w:tblInd w:w="93" w:type="dxa"/>
        <w:tblLayout w:type="fixed"/>
        <w:tblCellMar>
          <w:top w:w="0" w:type="dxa"/>
          <w:left w:w="108" w:type="dxa"/>
          <w:bottom w:w="0" w:type="dxa"/>
          <w:right w:w="108" w:type="dxa"/>
        </w:tblCellMar>
      </w:tblPr>
      <w:tblGrid>
        <w:gridCol w:w="585"/>
        <w:gridCol w:w="457"/>
        <w:gridCol w:w="457"/>
        <w:gridCol w:w="2896"/>
        <w:gridCol w:w="1659"/>
        <w:gridCol w:w="850"/>
        <w:gridCol w:w="851"/>
        <w:gridCol w:w="1659"/>
      </w:tblGrid>
      <w:tr>
        <w:tblPrEx>
          <w:tblLayout w:type="fixed"/>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5019" w:type="dxa"/>
            <w:gridSpan w:val="4"/>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tblPrEx>
          <w:tblLayout w:type="fixed"/>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659" w:type="dxa"/>
            <w:vMerge w:val="restart"/>
            <w:tcBorders>
              <w:top w:val="nil"/>
              <w:left w:val="single" w:color="auto" w:sz="4" w:space="0"/>
              <w:bottom w:val="single" w:color="000000"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tblPrEx>
          <w:tblLayout w:type="fixed"/>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659"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000000"/>
                <w:kern w:val="0"/>
                <w:sz w:val="20"/>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  计</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right"/>
              <w:rPr>
                <w:rFonts w:ascii="仿宋_GB2312" w:hAnsi="宋体" w:eastAsia="仿宋_GB2312" w:cs="宋体"/>
                <w:b/>
                <w:kern w:val="0"/>
                <w:sz w:val="18"/>
                <w:szCs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备注：墨玉县第六小学2025年无国有资本经营预算安排的支出，国有资本经营预算支出情况表为空表。</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表10</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4"/>
        <w:gridCol w:w="13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4"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编制单位：墨玉县第六小学</w:t>
            </w:r>
          </w:p>
        </w:tc>
        <w:tc>
          <w:tcPr>
            <w:tcW w:w="1312" w:type="dxa"/>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bl>
    <w:tbl>
      <w:tblPr>
        <w:tblStyle w:val="3"/>
        <w:tblW w:w="9440" w:type="dxa"/>
        <w:tblInd w:w="93" w:type="dxa"/>
        <w:tblLayout w:type="fixed"/>
        <w:tblCellMar>
          <w:top w:w="0" w:type="dxa"/>
          <w:left w:w="108" w:type="dxa"/>
          <w:bottom w:w="0" w:type="dxa"/>
          <w:right w:w="108" w:type="dxa"/>
        </w:tblCellMar>
      </w:tblPr>
      <w:tblGrid>
        <w:gridCol w:w="3287"/>
        <w:gridCol w:w="1417"/>
        <w:gridCol w:w="1559"/>
        <w:gridCol w:w="1518"/>
        <w:gridCol w:w="1659"/>
      </w:tblGrid>
      <w:tr>
        <w:tblPrEx>
          <w:tblLayout w:type="fixed"/>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合计</w:t>
            </w:r>
          </w:p>
        </w:tc>
        <w:tc>
          <w:tcPr>
            <w:tcW w:w="4736" w:type="dxa"/>
            <w:gridSpan w:val="3"/>
            <w:tcBorders>
              <w:top w:val="single" w:color="auto" w:sz="4" w:space="0"/>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资金来源</w:t>
            </w:r>
          </w:p>
        </w:tc>
      </w:tr>
      <w:tr>
        <w:tblPrEx>
          <w:tblLayout w:type="fixed"/>
          <w:tblCellMar>
            <w:top w:w="0" w:type="dxa"/>
            <w:left w:w="108" w:type="dxa"/>
            <w:bottom w:w="0" w:type="dxa"/>
            <w:right w:w="108" w:type="dxa"/>
          </w:tblCellMar>
        </w:tblPrEx>
        <w:trPr>
          <w:trHeight w:val="810" w:hRule="atLeast"/>
        </w:trPr>
        <w:tc>
          <w:tcPr>
            <w:tcW w:w="328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noWrap w:val="0"/>
            <w:vAlign w:val="center"/>
          </w:tcPr>
          <w:p>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r>
        <w:tblPrEx>
          <w:tblLayout w:type="fixed"/>
          <w:tblCellMar>
            <w:top w:w="0" w:type="dxa"/>
            <w:left w:w="108" w:type="dxa"/>
            <w:bottom w:w="0" w:type="dxa"/>
            <w:right w:w="108" w:type="dxa"/>
          </w:tblCellMar>
        </w:tblPrEx>
        <w:trPr>
          <w:trHeight w:val="592" w:hRule="atLeast"/>
        </w:trPr>
        <w:tc>
          <w:tcPr>
            <w:tcW w:w="3287" w:type="dxa"/>
            <w:tcBorders>
              <w:top w:val="nil"/>
              <w:left w:val="single" w:color="auto" w:sz="4" w:space="0"/>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28"/>
              </w:rPr>
            </w:pPr>
            <w:r>
              <w:rPr>
                <w:rFonts w:hint="eastAsia" w:ascii="仿宋_GB2312" w:hAnsi="宋体" w:eastAsia="仿宋_GB2312" w:cs="宋体"/>
                <w:b/>
                <w:color w:val="000000"/>
                <w:kern w:val="0"/>
                <w:sz w:val="28"/>
                <w:lang w:val="en-US" w:eastAsia="zh-CN"/>
              </w:rPr>
              <w:t xml:space="preserve">      </w:t>
            </w: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518"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c>
          <w:tcPr>
            <w:tcW w:w="1659" w:type="dxa"/>
            <w:tcBorders>
              <w:top w:val="nil"/>
              <w:left w:val="nil"/>
              <w:bottom w:val="single" w:color="auto" w:sz="4" w:space="0"/>
              <w:right w:val="single" w:color="auto" w:sz="4" w:space="0"/>
            </w:tcBorders>
            <w:shd w:val="clear" w:color="auto" w:fill="auto"/>
            <w:noWrap w:val="0"/>
            <w:vAlign w:val="center"/>
          </w:tcPr>
          <w:p>
            <w:pPr>
              <w:widowControl/>
              <w:jc w:val="center"/>
              <w:rPr>
                <w:rFonts w:hint="eastAsia" w:ascii="仿宋_GB2312" w:hAnsi="宋体" w:eastAsia="仿宋_GB2312" w:cs="宋体"/>
                <w:b/>
                <w:color w:val="000000"/>
                <w:kern w:val="0"/>
                <w:sz w:val="18"/>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备注：墨玉县第六小学2025年无财政拨款“三公”经费预算安排，财政拨款“三公”经费支出情况表为空表。</w:t>
      </w:r>
    </w:p>
    <w:p>
      <w:pPr>
        <w:widowControl/>
        <w:jc w:val="left"/>
        <w:outlineLvl w:val="1"/>
        <w:rPr>
          <w:rFonts w:hint="eastAsia" w:ascii="仿宋_GB2312" w:hAnsi="宋体" w:eastAsia="仿宋_GB2312"/>
          <w:b/>
          <w:kern w:val="0"/>
          <w:sz w:val="32"/>
          <w:szCs w:val="32"/>
        </w:rPr>
      </w:pPr>
    </w:p>
    <w:p>
      <w:pPr>
        <w:widowControl/>
        <w:jc w:val="left"/>
        <w:outlineLvl w:val="1"/>
        <w:rPr>
          <w:rFonts w:ascii="仿宋_GB2312" w:hAnsi="宋体" w:eastAsia="仿宋_GB2312"/>
          <w:b/>
          <w:kern w:val="0"/>
          <w:sz w:val="32"/>
          <w:szCs w:val="32"/>
        </w:rPr>
      </w:pPr>
      <w:r>
        <w:rPr>
          <w:rFonts w:ascii="微软雅黑" w:hAnsi="Calibri" w:eastAsia="微软雅黑" w:cs="Times New Roman"/>
          <w:b/>
          <w:bCs/>
          <w:kern w:val="44"/>
          <w:sz w:val="28"/>
          <w:szCs w:val="28"/>
        </w:rPr>
        <w:br w:type="page"/>
      </w:r>
      <w:r>
        <w:rPr>
          <w:rFonts w:hint="eastAsia" w:ascii="宋体" w:hAnsi="宋体" w:eastAsia="宋体" w:cs="宋体"/>
          <w:kern w:val="0"/>
          <w:sz w:val="20"/>
          <w:szCs w:val="20"/>
        </w:rPr>
        <w:t>表11</w:t>
      </w:r>
    </w:p>
    <w:p>
      <w:pPr>
        <w:widowControl/>
        <w:jc w:val="left"/>
        <w:outlineLvl w:val="1"/>
        <w:rPr>
          <w:rFonts w:ascii="仿宋_GB2312" w:hAnsi="宋体" w:eastAsia="仿宋_GB2312"/>
          <w:b/>
          <w:kern w:val="0"/>
          <w:sz w:val="32"/>
          <w:szCs w:val="32"/>
        </w:rPr>
      </w:pPr>
    </w:p>
    <w:p>
      <w:pPr>
        <w:widowControl/>
        <w:jc w:val="center"/>
        <w:outlineLvl w:val="1"/>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pPr>
        <w:widowControl/>
        <w:jc w:val="center"/>
        <w:outlineLvl w:val="1"/>
        <w:rPr>
          <w:rFonts w:ascii="仿宋_GB2312" w:hAnsi="宋体" w:eastAsia="仿宋_GB2312"/>
          <w:b/>
          <w:kern w:val="0"/>
          <w:sz w:val="32"/>
          <w:szCs w:val="32"/>
        </w:rPr>
      </w:pPr>
    </w:p>
    <w:tbl>
      <w:tblPr>
        <w:tblStyle w:val="3"/>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0"/>
        <w:gridCol w:w="850"/>
        <w:gridCol w:w="850"/>
        <w:gridCol w:w="850"/>
        <w:gridCol w:w="850"/>
        <w:gridCol w:w="850"/>
        <w:gridCol w:w="850"/>
        <w:gridCol w:w="850"/>
        <w:gridCol w:w="400"/>
        <w:gridCol w:w="450"/>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00" w:type="dxa"/>
            <w:gridSpan w:val="9"/>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编制单位：墨玉县第六小学</w:t>
            </w:r>
          </w:p>
        </w:tc>
        <w:tc>
          <w:tcPr>
            <w:tcW w:w="1300" w:type="dxa"/>
            <w:gridSpan w:val="2"/>
            <w:tcBorders>
              <w:top w:val="nil"/>
              <w:left w:val="nil"/>
              <w:bottom w:val="nil"/>
              <w:right w:val="nil"/>
            </w:tcBorders>
          </w:tcPr>
          <w:p>
            <w:pPr>
              <w:widowControl/>
              <w:jc w:val="both"/>
              <w:outlineLvl w:val="1"/>
              <w:rPr>
                <w:rFonts w:hint="eastAsia" w:ascii="仿宋_GB2312" w:hAnsi="宋体" w:eastAsia="仿宋_GB2312"/>
                <w:b/>
                <w:kern w:val="0"/>
                <w:sz w:val="32"/>
                <w:szCs w:val="32"/>
                <w:vertAlign w:val="baseline"/>
              </w:rPr>
            </w:pPr>
            <w:r>
              <w:rPr>
                <w:rFonts w:hint="eastAsia" w:ascii="仿宋_GB2312" w:hAnsi="宋体" w:eastAsia="仿宋_GB2312" w:cs="宋体"/>
                <w:kern w:val="0"/>
                <w:sz w:val="24"/>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3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400"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400" w:type="dxa"/>
            <w:gridSpan w:val="5"/>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3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小计</w:t>
            </w:r>
          </w:p>
        </w:tc>
        <w:tc>
          <w:tcPr>
            <w:tcW w:w="1700"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700" w:type="dxa"/>
            <w:gridSpan w:val="3"/>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3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50" w:type="dxa"/>
            <w:gridSpan w:val="2"/>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850"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350"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pPr>
              <w:spacing w:line="60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b/>
                <w:bCs/>
                <w:kern w:val="0"/>
                <w:sz w:val="20"/>
                <w:szCs w:val="20"/>
              </w:rPr>
              <w:t>总计</w:t>
            </w:r>
          </w:p>
        </w:tc>
        <w:tc>
          <w:tcPr>
            <w:tcW w:w="850" w:type="dxa"/>
            <w:noWrap w:val="0"/>
            <w:vAlign w:val="center"/>
          </w:tcPr>
          <w:p>
            <w:pPr>
              <w:spacing w:line="600" w:lineRule="exact"/>
              <w:jc w:val="center"/>
              <w:rPr>
                <w:rFonts w:ascii="仿宋" w:hAnsi="仿宋" w:eastAsia="仿宋" w:cs="仿宋_GB2312"/>
                <w:b/>
                <w:bCs/>
                <w:color w:val="auto"/>
                <w:kern w:val="0"/>
                <w:sz w:val="18"/>
                <w:szCs w:val="18"/>
                <w:highlight w:val="none"/>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widowControl/>
              <w:spacing w:line="280" w:lineRule="exact"/>
              <w:jc w:val="center"/>
              <w:rPr>
                <w:rFonts w:hint="eastAsia" w:ascii="仿宋_GB2312" w:hAnsi="宋体" w:eastAsia="仿宋_GB2312" w:cs="宋体"/>
                <w:bCs/>
                <w:color w:val="auto"/>
                <w:kern w:val="0"/>
                <w:sz w:val="18"/>
                <w:szCs w:val="18"/>
                <w:highlight w:val="none"/>
                <w:lang w:val="en-US" w:eastAsia="zh-CN"/>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gridSpan w:val="2"/>
            <w:noWrap w:val="0"/>
            <w:vAlign w:val="center"/>
          </w:tcPr>
          <w:p>
            <w:pPr>
              <w:spacing w:line="600" w:lineRule="exact"/>
              <w:jc w:val="center"/>
              <w:rPr>
                <w:rFonts w:ascii="仿宋" w:hAnsi="仿宋" w:eastAsia="仿宋" w:cs="仿宋_GB2312"/>
                <w:bCs/>
                <w:color w:val="auto"/>
                <w:kern w:val="0"/>
                <w:sz w:val="18"/>
                <w:szCs w:val="18"/>
                <w:highlight w:val="none"/>
              </w:rPr>
            </w:pPr>
          </w:p>
        </w:tc>
        <w:tc>
          <w:tcPr>
            <w:tcW w:w="850" w:type="dxa"/>
            <w:noWrap w:val="0"/>
            <w:vAlign w:val="center"/>
          </w:tcPr>
          <w:p>
            <w:pPr>
              <w:spacing w:line="600" w:lineRule="exact"/>
              <w:jc w:val="center"/>
              <w:rPr>
                <w:rFonts w:ascii="仿宋" w:hAnsi="仿宋" w:eastAsia="仿宋" w:cs="仿宋_GB2312"/>
                <w:bCs/>
                <w:color w:val="auto"/>
                <w:kern w:val="0"/>
                <w:sz w:val="18"/>
                <w:szCs w:val="18"/>
                <w:highlight w:val="none"/>
              </w:rPr>
            </w:pPr>
          </w:p>
        </w:tc>
      </w:tr>
    </w:tbl>
    <w:p>
      <w:pPr>
        <w:widowControl/>
        <w:outlineLvl w:val="1"/>
        <w:rPr>
          <w:rFonts w:ascii="仿宋_GB2312" w:hAnsi="宋体" w:eastAsia="仿宋_GB2312"/>
          <w:b/>
          <w:kern w:val="0"/>
          <w:sz w:val="18"/>
          <w:szCs w:val="18"/>
        </w:rPr>
      </w:pPr>
      <w:r>
        <w:rPr>
          <w:rFonts w:hint="eastAsia" w:ascii="仿宋_GB2312" w:hAnsi="宋体" w:eastAsia="仿宋_GB2312"/>
          <w:b/>
          <w:color w:val="auto"/>
          <w:kern w:val="0"/>
          <w:sz w:val="28"/>
          <w:szCs w:val="32"/>
          <w:highlight w:val="none"/>
        </w:rPr>
        <w:t>备注：墨玉县第六小学2025年无上年结转结余预算安排的支出，上年结转结余情况明细表为空表。</w:t>
      </w:r>
    </w:p>
    <w:p>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pPr>
        <w:widowControl w:val="0"/>
        <w:spacing w:before="0" w:beforeLines="0" w:line="560" w:lineRule="exact"/>
        <w:jc w:val="center"/>
        <w:outlineLvl w:val="9"/>
        <w:rPr>
          <w:rFonts w:hint="eastAsia" w:ascii="黑体" w:hAnsi="黑体" w:eastAsia="黑体"/>
          <w:kern w:val="0"/>
          <w:sz w:val="32"/>
          <w:szCs w:val="32"/>
        </w:rPr>
      </w:pPr>
      <w:r>
        <w:rPr>
          <w:rFonts w:hint="eastAsia" w:ascii="黑体" w:hAnsi="黑体" w:eastAsia="黑体"/>
          <w:kern w:val="0"/>
          <w:sz w:val="32"/>
          <w:szCs w:val="32"/>
        </w:rPr>
        <w:t>第三部分 2025年单位预算情况说明</w:t>
      </w:r>
    </w:p>
    <w:p>
      <w:pPr>
        <w:widowControl w:val="0"/>
        <w:spacing w:before="0" w:beforeLines="0" w:line="560" w:lineRule="exact"/>
        <w:jc w:val="center"/>
        <w:outlineLvl w:val="9"/>
        <w:rPr>
          <w:rFonts w:ascii="楷体_GB2312" w:hAnsi="楷体_GB2312" w:eastAsia="楷体_GB2312"/>
          <w:kern w:val="0"/>
          <w:sz w:val="32"/>
          <w:szCs w:val="32"/>
        </w:rPr>
      </w:pP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关于墨玉县第六小学单位2025年收支预算情况的总体说明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按照全口径预算的原则，墨玉县第六小学单位2025年所有收入和支出均纳入单位预算管理。收支总预算492.59万元。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收入预算包括：一般公共预算、单位资金。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二、关于墨玉县第六小学单位2025年收入预算情况说明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墨玉县第六小学单位收入预算492.59万元，其中：</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一般公共预算479.00万元，占97.24%，比上年预算增加18.06万元，增长3.92%，主要原因是2024年11月份3名教师调入到我们学校。在职人员增加，工资调增，社保及公积金缴费基数调增，经费增加</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上级一般公共预算安排的转移支付13.38万元，占2.72%，比上年预算增加13.38万元，增长100.00%，主要原因是上年度上级一般公共预算结转结余资金纳入本年度一般公共预算安排</w:t>
      </w:r>
      <w:r>
        <w:rPr>
          <w:rFonts w:hint="eastAsia" w:ascii="仿宋_GB2312" w:hAnsi="宋体" w:eastAsia="仿宋_GB2312" w:cs="宋体"/>
          <w:kern w:val="0"/>
          <w:sz w:val="32"/>
          <w:szCs w:val="32"/>
          <w:lang w:eastAsia="zh-CN"/>
        </w:rPr>
        <w:t>。</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val="0"/>
        <w:spacing w:line="560" w:lineRule="exact"/>
        <w:ind w:firstLine="640" w:firstLineChars="200"/>
        <w:jc w:val="both"/>
        <w:rPr>
          <w:rFonts w:hint="eastAsia" w:ascii="仿宋_GB2312" w:hAnsi="宋体" w:eastAsia="仿宋_GB2312" w:cs="宋体"/>
          <w:kern w:val="0"/>
          <w:sz w:val="32"/>
          <w:szCs w:val="32"/>
          <w:lang w:eastAsia="zh-CN"/>
        </w:rPr>
      </w:pPr>
      <w:r>
        <w:rPr>
          <w:rFonts w:hint="eastAsia" w:ascii="仿宋_GB2312" w:hAnsi="宋体" w:eastAsia="仿宋_GB2312" w:cs="宋体"/>
          <w:kern w:val="0"/>
          <w:sz w:val="32"/>
          <w:szCs w:val="32"/>
        </w:rPr>
        <w:t>单位资金0.21万元，占0.04%，比上年预算减少9.38万元，下降97.81%，主要原因是本年度已支付上年应付未付的单位资金</w:t>
      </w:r>
      <w:r>
        <w:rPr>
          <w:rFonts w:hint="eastAsia" w:ascii="仿宋_GB2312" w:hAnsi="宋体" w:eastAsia="仿宋_GB2312" w:cs="宋体"/>
          <w:kern w:val="0"/>
          <w:sz w:val="32"/>
          <w:szCs w:val="32"/>
          <w:lang w:eastAsia="zh-CN"/>
        </w:rPr>
        <w:t>。</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三、关于墨玉县第六小学单位2025年支出预算情况说明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墨玉县第六小学单位2025年支出预算492.59万元，其中：</w:t>
      </w:r>
    </w:p>
    <w:p>
      <w:pPr>
        <w:widowControl w:val="0"/>
        <w:spacing w:line="560" w:lineRule="exact"/>
        <w:ind w:firstLine="640" w:firstLineChars="200"/>
        <w:jc w:val="both"/>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基本支出479.00万元，占97.24%，比上年预算增加18.06万元，增长3.92%，主要原因是2024年11月份3名教师调入到我们学校。在职人员增加，工资调增，社保及公积金缴费基数调增，经费增加。</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项目支出13.59万元，占2.76%，比上年预算增加4.00万元，增长41.71%，主要原因是以前年度项目支出结转结余资金纳入本年度项目支出预算安排。</w:t>
      </w:r>
    </w:p>
    <w:p>
      <w:pPr>
        <w:widowControl w:val="0"/>
        <w:spacing w:line="560" w:lineRule="exact"/>
        <w:ind w:firstLine="643" w:firstLineChars="200"/>
        <w:jc w:val="both"/>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四、关于墨玉县第六小学单位2025年财政拨款收支预算情况的总体说明</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2025年财政拨款收支总预算492.38万元。</w:t>
      </w:r>
    </w:p>
    <w:p>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收入预算包括：一般公共预算拨款492.38万元。</w:t>
      </w:r>
    </w:p>
    <w:p>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一般公共预算支出包括：教育支出492.38万元，主要用于保障单位正常运行的人员经费、公用经费支出。</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五、关于墨玉县第六小学单位2025年一般公共预算当年拨款情况说明</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墨玉县第六小学单位2025年一般公共预算拨款合计492.38万元，其中：</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基本支出479.00万元，比上年预算增加18.06万元，增长3.92%。主要原因是：2024年11月份3名教师调入到我们学校。在职人员增加，工资调增，社保及公积金缴费基数调增，经费增加。</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项目支出13.38万元，比上年预算增加13.38万元，增长100.00%。主要原因是：以前年度项目支出结转结余资金纳入本年度项目支出预算安排。</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eastAsia="仿宋_GB2312"/>
          <w:sz w:val="32"/>
          <w:szCs w:val="32"/>
        </w:rPr>
        <w:t>1.教育支出（类）492.38万元，占100.0%。</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1.教育支出（类）普通教育（款）小学教育（项）：2025年预算数为492.38万元，比上年预算增加31.44万元，增长6.82%，主要原因是：以前年度项目支出结转结余资金纳入本年度项目支出预算安排。</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六、关于墨玉县第六小学单位2025年一般公共预算基本支出情况说明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墨玉县第六小学单位2025年一般公共预算基本支出479.00万元，其中：</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人员经费479.00万元，主要包括：基本工资、津贴补贴、奖金、绩效工资、机关事业单位基本养老保险缴费、职工基本医疗保险缴费、其他社会保障缴费、住房公积金。</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公用经费0.00万元。</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七、关于墨玉县第六小学单位2025年一般公共预算项目支出情况说明</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（一）项目名称：义务教育小学阶段公用经费（中央直达资金）（和地财教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〔2024〕12号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设立的政策依据：关于印发《新疆维吾尔自治区学生资助资金管理办法》通知新财规</w:t>
      </w:r>
      <w:r>
        <w:rPr>
          <w:rFonts w:hint="eastAsia" w:ascii="仿宋_GB2312" w:hAnsi="黑体" w:eastAsia="仿宋_GB2312"/>
          <w:sz w:val="32"/>
          <w:szCs w:val="32"/>
          <w:lang w:eastAsia="zh-CN"/>
        </w:rPr>
        <w:t>〔2021〕13号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预算安排规模：7.14万元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项目承担单位：墨玉县第六小学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资金分配情况：根据在校人数和困难学生比例情况进行分配。</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（二）项目名称：义务教育特教阶段随班就读学生公用经费（中央直达资金）（和地财教</w:t>
      </w:r>
      <w:r>
        <w:rPr>
          <w:rFonts w:hint="eastAsia" w:ascii="仿宋_GB2312" w:hAnsi="黑体" w:eastAsia="仿宋_GB2312"/>
          <w:sz w:val="32"/>
          <w:szCs w:val="32"/>
          <w:lang w:eastAsia="zh-CN"/>
        </w:rPr>
        <w:t>〔2023〕60号</w:t>
      </w:r>
      <w:r>
        <w:rPr>
          <w:rFonts w:ascii="仿宋_GB2312" w:hAnsi="黑体" w:eastAsia="仿宋_GB2312"/>
          <w:sz w:val="32"/>
          <w:szCs w:val="32"/>
        </w:rPr>
        <w:t>、墨财教</w:t>
      </w:r>
      <w:r>
        <w:rPr>
          <w:rFonts w:hint="eastAsia" w:ascii="仿宋_GB2312" w:hAnsi="黑体" w:eastAsia="仿宋_GB2312"/>
          <w:sz w:val="32"/>
          <w:szCs w:val="32"/>
          <w:lang w:eastAsia="zh-CN"/>
        </w:rPr>
        <w:t>〔2024〕9号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设立的政策依据：关于印发《新疆维吾尔自治区学生资助资金管理办法》通知新财规</w:t>
      </w:r>
      <w:r>
        <w:rPr>
          <w:rFonts w:hint="eastAsia" w:ascii="仿宋_GB2312" w:hAnsi="黑体" w:eastAsia="仿宋_GB2312"/>
          <w:sz w:val="32"/>
          <w:szCs w:val="32"/>
          <w:lang w:eastAsia="zh-CN"/>
        </w:rPr>
        <w:t>〔2021〕13号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预算安排规模：1.45万元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项目承担单位：墨玉县第六小学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资金分配情况：根据在校人数和困难学生比例情况进行分配。</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（三）项目名称：义务教育小学阶段公用经费（自治区直达资金）（和地财教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〔2024〕25号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设立的政策依据：关于印发《新疆维吾尔自治区学生资助资金管理办法》通知新财规</w:t>
      </w:r>
      <w:r>
        <w:rPr>
          <w:rFonts w:hint="eastAsia" w:ascii="仿宋_GB2312" w:hAnsi="黑体" w:eastAsia="仿宋_GB2312"/>
          <w:sz w:val="32"/>
          <w:szCs w:val="32"/>
          <w:lang w:eastAsia="zh-CN"/>
        </w:rPr>
        <w:t>〔2021〕13号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预算安排规模：0.64万元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项目承担单位：墨玉县第六小学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资金分配情况：根据在校人数和困难学生比例情况进行分配。</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（四）项目名称：义务教育特教阶段公用经费（自治区直达资金）（和地财教</w:t>
      </w:r>
      <w:r>
        <w:rPr>
          <w:rFonts w:hint="eastAsia" w:ascii="仿宋_GB2312" w:hAnsi="黑体" w:eastAsia="仿宋_GB2312"/>
          <w:sz w:val="32"/>
          <w:szCs w:val="32"/>
          <w:lang w:eastAsia="zh-CN"/>
        </w:rPr>
        <w:t>〔2023〕70号</w:t>
      </w:r>
      <w:r>
        <w:rPr>
          <w:rFonts w:ascii="仿宋_GB2312" w:hAnsi="黑体" w:eastAsia="仿宋_GB2312"/>
          <w:sz w:val="32"/>
          <w:szCs w:val="32"/>
        </w:rPr>
        <w:t>、墨财教</w:t>
      </w:r>
      <w:r>
        <w:rPr>
          <w:rFonts w:hint="eastAsia" w:ascii="仿宋_GB2312" w:hAnsi="黑体" w:eastAsia="仿宋_GB2312"/>
          <w:sz w:val="32"/>
          <w:szCs w:val="32"/>
          <w:lang w:eastAsia="zh-CN"/>
        </w:rPr>
        <w:t>〔2024〕23号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设立的政策依据：关于印发《新疆维吾尔自治区学生资助资金管理办法》通知新财规</w:t>
      </w:r>
      <w:r>
        <w:rPr>
          <w:rFonts w:hint="eastAsia" w:ascii="仿宋_GB2312" w:hAnsi="黑体" w:eastAsia="仿宋_GB2312"/>
          <w:sz w:val="32"/>
          <w:szCs w:val="32"/>
          <w:lang w:eastAsia="zh-CN"/>
        </w:rPr>
        <w:t>〔2021〕13号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预算安排规模：0.06万元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项目承担单位：墨玉县第六小学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资金分配情况：根据在校人数和困难学生比例情况进行分配。</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（五）项目名称：2023年义务教育小学阶段公用经费自治区第二批直达资金（和地财教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设立的政策依据：关于印发《新疆维吾尔自治区学生资助资金管理办法》通知新财规</w:t>
      </w:r>
      <w:r>
        <w:rPr>
          <w:rFonts w:hint="eastAsia" w:ascii="仿宋_GB2312" w:hAnsi="黑体" w:eastAsia="仿宋_GB2312"/>
          <w:sz w:val="32"/>
          <w:szCs w:val="32"/>
          <w:lang w:eastAsia="zh-CN"/>
        </w:rPr>
        <w:t>〔2021〕13号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预算安排规模：3.91万元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项目承担单位：墨玉县第六小学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资金分配情况：根据在校人数和困难学生比例情况进行分配。</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（六）项目名称：2023年义务教育特教阶段公用经费自治区第二批直达资金（和地财教</w:t>
      </w:r>
      <w:r>
        <w:rPr>
          <w:rFonts w:hint="eastAsia" w:ascii="仿宋_GB2312" w:hAnsi="黑体" w:eastAsia="仿宋_GB2312"/>
          <w:sz w:val="32"/>
          <w:szCs w:val="32"/>
          <w:lang w:eastAsia="zh-CN"/>
        </w:rPr>
        <w:t>〔2023〕44号</w:t>
      </w:r>
      <w:r>
        <w:rPr>
          <w:rFonts w:ascii="仿宋_GB2312" w:hAnsi="黑体" w:eastAsia="仿宋_GB2312"/>
          <w:sz w:val="32"/>
          <w:szCs w:val="32"/>
        </w:rPr>
        <w:t>、墨财教</w:t>
      </w:r>
      <w:r>
        <w:rPr>
          <w:rFonts w:hint="eastAsia" w:ascii="仿宋_GB2312" w:hAnsi="黑体" w:eastAsia="仿宋_GB2312"/>
          <w:sz w:val="32"/>
          <w:szCs w:val="32"/>
          <w:lang w:eastAsia="zh-CN"/>
        </w:rPr>
        <w:t>〔2023〕48号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设立的政策依据：关于印发《新疆维吾尔自治区学生资助资金管理办法》通知新财规</w:t>
      </w:r>
      <w:r>
        <w:rPr>
          <w:rFonts w:hint="eastAsia" w:ascii="仿宋_GB2312" w:hAnsi="黑体" w:eastAsia="仿宋_GB2312"/>
          <w:sz w:val="32"/>
          <w:szCs w:val="32"/>
          <w:lang w:eastAsia="zh-CN"/>
        </w:rPr>
        <w:t>〔2021〕13号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预算安排规模：0.17万元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项目承担单位：墨玉县第六小学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资金分配情况：根据在校人数和困难学生比例情况进行分配。</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（七）项目名称：2024年义务教育特教阶段公用经费（第二批中央直达资金）（和地财教</w:t>
      </w:r>
      <w:r>
        <w:rPr>
          <w:rFonts w:hint="eastAsia" w:ascii="仿宋_GB2312" w:hAnsi="黑体" w:eastAsia="仿宋_GB2312"/>
          <w:sz w:val="32"/>
          <w:szCs w:val="32"/>
          <w:lang w:eastAsia="zh-CN"/>
        </w:rPr>
        <w:t>〔2024〕18号</w:t>
      </w:r>
      <w:r>
        <w:rPr>
          <w:rFonts w:ascii="仿宋_GB2312" w:hAnsi="黑体" w:eastAsia="仿宋_GB2312"/>
          <w:sz w:val="32"/>
          <w:szCs w:val="32"/>
        </w:rPr>
        <w:t>、墨财教</w:t>
      </w:r>
      <w:r>
        <w:rPr>
          <w:rFonts w:hint="eastAsia" w:ascii="仿宋_GB2312" w:hAnsi="黑体" w:eastAsia="仿宋_GB2312"/>
          <w:sz w:val="32"/>
          <w:szCs w:val="32"/>
          <w:lang w:eastAsia="zh-CN"/>
        </w:rPr>
        <w:t>〔2024〕48号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设立的政策依据：关于印发《新疆维吾尔自治区学生资助资金管理办法》通知新财规</w:t>
      </w:r>
      <w:r>
        <w:rPr>
          <w:rFonts w:hint="eastAsia" w:ascii="仿宋_GB2312" w:hAnsi="黑体" w:eastAsia="仿宋_GB2312"/>
          <w:sz w:val="32"/>
          <w:szCs w:val="32"/>
          <w:lang w:eastAsia="zh-CN"/>
        </w:rPr>
        <w:t>〔2021〕13号</w:t>
      </w:r>
      <w:r>
        <w:rPr>
          <w:rFonts w:ascii="仿宋_GB2312" w:hAnsi="黑体" w:eastAsia="仿宋_GB2312"/>
          <w:sz w:val="32"/>
          <w:szCs w:val="32"/>
        </w:rPr>
        <w:t>。</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预算安排规模：0.01万元</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项目承担单位：墨玉县第六小学</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资金分配情况：根据在校人数和困难学生比例情况进行分配。</w:t>
      </w:r>
    </w:p>
    <w:p>
      <w:pPr>
        <w:widowControl w:val="0"/>
        <w:spacing w:line="560" w:lineRule="exact"/>
        <w:ind w:firstLine="640" w:firstLineChars="200"/>
        <w:jc w:val="both"/>
        <w:rPr>
          <w:rFonts w:ascii="仿宋_GB2312" w:hAnsi="黑体" w:eastAsia="仿宋_GB2312"/>
          <w:sz w:val="32"/>
          <w:szCs w:val="32"/>
        </w:rPr>
      </w:pPr>
      <w:r>
        <w:rPr>
          <w:rFonts w:ascii="仿宋_GB2312" w:hAnsi="黑体" w:eastAsia="仿宋_GB2312"/>
          <w:sz w:val="32"/>
          <w:szCs w:val="32"/>
        </w:rPr>
        <w:t>资金执行时间：2025年1月1日至2025年12月31日</w:t>
      </w:r>
    </w:p>
    <w:p>
      <w:pPr>
        <w:widowControl w:val="0"/>
        <w:spacing w:line="560" w:lineRule="exact"/>
        <w:ind w:firstLine="640" w:firstLineChars="200"/>
        <w:jc w:val="both"/>
        <w:rPr>
          <w:rFonts w:ascii="仿宋_GB2312" w:hAnsi="黑体" w:eastAsia="仿宋_GB2312"/>
          <w:sz w:val="32"/>
          <w:szCs w:val="32"/>
        </w:rPr>
      </w:pP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八、关于墨玉县第六小学单位2025年政府性基金预算拨款情况说明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墨玉县第六小学单位2025年没有使用政府性基金预算拨款安排的支出，政府性基金预算支出情况表为空表。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九、关于墨玉县第六小学单位2025年国有资本经营预算拨款情况说明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墨玉县第六小学单位2025年没有使用国有资本经营预算拨款安排的支出，国有资本经营预算支出情况表为空表。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十、关于墨玉县第六小学单位2025年财政拨款“三公”经费预算情况说明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墨玉县第六小学单位2025年财政拨款“三公”经费数为0.00万元，其中：因公出国（境）费0.00万元，公务用车购置费0.00万元，公务用车运行费0.00万元，公务接待费0.00万元。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财政拨款“三公”经费比上年预算减少0.00万元，下降0.00%，其中：因公出国（境）费减少0.00万元，下降0.00%，主要原因是我单位本年无因公出国（境）费预算安排；公务用车购置费减少0.00万元，下降0.00%，主要原因是我单位本年无公务用车购置费预算安排；公务用车运行费减少0.00万元，下降0.00%，主要原因是我单位无公务用车；公务接待费减少0.00万元，下降0.00%，主要原因是我单位本年无公务接待费预算安排。</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十一、关于墨玉县第六小学单位2025年上年结转结余预算情况说明</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墨玉县第六小学单位2025年没有上年结转结余预算的支出，上年结转结余情况明细表为空表。</w:t>
      </w:r>
    </w:p>
    <w:p>
      <w:pPr>
        <w:widowControl w:val="0"/>
        <w:spacing w:line="560" w:lineRule="exact"/>
        <w:ind w:firstLine="643" w:firstLineChars="200"/>
        <w:jc w:val="both"/>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墨玉县第六小学单位2025年的事业单位运行经费财政拨款预算0.00万元，比上年预算减少0.00万元，下降0.00%。主要原因是我单位未安排单位运行经费。</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2025年，墨玉县第六小学单位政府采购预算0万元，其中：政府采购货物预算0万元，政府采购工程预算0万元，政府采购服务预算0万元。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仿宋_GB2312" w:eastAsia="仿宋_GB2312"/>
          <w:sz w:val="32"/>
        </w:rPr>
        <w:t>2025年，墨玉县第六小学单位面向中小企业预留政府采购项目预算金额0万元，小微企业预留政府采购项目预算金额0万元。</w:t>
      </w: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截至2024年底，墨玉县第六小学单位及下属各预算单位占用使用国有资产总体情况为：</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2.车辆0辆，价值0万元；其中：一般公务用车0辆，价值0万元；执法执勤用车0辆，价值0万元；其他车辆0辆，价值0万元。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单位价值50万元以上大型设备0台（套），单位价值100万元以上大型设备0台（套）。</w:t>
      </w:r>
    </w:p>
    <w:p>
      <w:pPr>
        <w:widowControl w:val="0"/>
        <w:spacing w:line="560" w:lineRule="exact"/>
        <w:ind w:firstLine="640" w:firstLineChars="200"/>
        <w:jc w:val="both"/>
        <w:rPr>
          <w:rFonts w:ascii="仿宋_GB2312" w:hAnsi="宋体" w:eastAsia="仿宋_GB2312" w:cs="宋体"/>
          <w:kern w:val="0"/>
          <w:sz w:val="32"/>
          <w:szCs w:val="32"/>
        </w:rPr>
      </w:pPr>
      <w:r>
        <w:rPr>
          <w:rFonts w:hint="eastAsia" w:ascii="仿宋_GB2312" w:hAnsi="宋体" w:eastAsia="仿宋_GB2312" w:cs="宋体"/>
          <w:kern w:val="0"/>
          <w:sz w:val="32"/>
          <w:szCs w:val="32"/>
        </w:rPr>
        <w:t>2025年单位预算未安排购置车辆经费，安排购置50万元以上大型设备0台（套），单位价值100万元以上大型设备0台（套）。</w:t>
      </w:r>
    </w:p>
    <w:p>
      <w:pPr>
        <w:widowControl/>
        <w:jc w:val="left"/>
        <w:outlineLvl w:val="1"/>
        <w:rPr>
          <w:rFonts w:ascii="微软雅黑" w:hAnsi="微软雅黑" w:eastAsia="微软雅黑" w:cs="Times New Roman"/>
          <w:b/>
          <w:spacing w:val="40"/>
          <w:sz w:val="28"/>
          <w:szCs w:val="28"/>
        </w:rPr>
        <w:sectPr>
          <w:footerReference r:id="rId8" w:type="default"/>
          <w:pgSz w:w="11906" w:h="16838"/>
          <w:pgMar w:top="1440" w:right="1800" w:bottom="1440" w:left="1800" w:header="851" w:footer="992" w:gutter="0"/>
          <w:cols w:space="425" w:num="1"/>
          <w:docGrid w:type="lines" w:linePitch="312" w:charSpace="0"/>
        </w:sectPr>
      </w:pPr>
    </w:p>
    <w:p>
      <w:pPr>
        <w:widowControl w:val="0"/>
        <w:spacing w:line="560" w:lineRule="exact"/>
        <w:ind w:firstLine="643" w:firstLineChars="200"/>
        <w:jc w:val="both"/>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val="0"/>
        <w:spacing w:line="560" w:lineRule="exact"/>
        <w:ind w:firstLine="640" w:firstLineChars="200"/>
        <w:jc w:val="both"/>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2025年，本部门预算绩效管理整体预算绩效目标1个，涉及预算金额479.01万元；当年预算安排项目共0个，其中：财政拨款项目涉及预算金额0万元；非财政拨款项目涉及预算金额0万元。具体情况见下表（按项目分别填报）：</w:t>
      </w: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p>
      <w:pPr>
        <w:widowControl w:val="0"/>
        <w:spacing w:line="560" w:lineRule="exact"/>
        <w:ind w:firstLine="640" w:firstLineChars="200"/>
        <w:jc w:val="both"/>
        <w:rPr>
          <w:rFonts w:hint="eastAsia" w:ascii="仿宋_GB2312" w:hAnsi="宋体" w:eastAsia="仿宋_GB2312" w:cs="宋体"/>
          <w:kern w:val="0"/>
          <w:sz w:val="32"/>
          <w:szCs w:val="32"/>
        </w:rPr>
      </w:pPr>
    </w:p>
    <w:tbl>
      <w:tblPr>
        <w:tblStyle w:val="3"/>
        <w:tblW w:w="94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158"/>
        <w:gridCol w:w="1575"/>
        <w:gridCol w:w="1827"/>
        <w:gridCol w:w="1380"/>
        <w:gridCol w:w="1459"/>
        <w:gridCol w:w="10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59" w:hRule="atLeast"/>
        </w:trPr>
        <w:tc>
          <w:tcPr>
            <w:tcW w:w="9420" w:type="dxa"/>
            <w:gridSpan w:val="6"/>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b/>
                <w:i w:val="0"/>
                <w:color w:val="000000"/>
                <w:sz w:val="40"/>
                <w:szCs w:val="40"/>
                <w:u w:val="none"/>
              </w:rPr>
            </w:pPr>
            <w:r>
              <w:rPr>
                <w:rFonts w:hint="eastAsia" w:ascii="宋体" w:hAnsi="宋体" w:eastAsia="宋体" w:cs="宋体"/>
                <w:b/>
                <w:i w:val="0"/>
                <w:color w:val="000000"/>
                <w:kern w:val="0"/>
                <w:sz w:val="40"/>
                <w:szCs w:val="40"/>
                <w:u w:val="none"/>
                <w:lang w:val="en-US" w:eastAsia="zh-CN" w:bidi="ar"/>
              </w:rPr>
              <w:t>部门（单位）整体绩效目标申报表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20" w:hRule="atLeast"/>
        </w:trPr>
        <w:tc>
          <w:tcPr>
            <w:tcW w:w="9420" w:type="dxa"/>
            <w:gridSpan w:val="6"/>
            <w:tcBorders>
              <w:top w:val="nil"/>
              <w:left w:val="nil"/>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部门（单位）名称（盖章）</w:t>
            </w:r>
          </w:p>
        </w:tc>
        <w:tc>
          <w:tcPr>
            <w:tcW w:w="7262" w:type="dxa"/>
            <w:gridSpan w:val="5"/>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墨玉县第六小学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5"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部门（单位）联系人</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买买提艾力·吾布力喀迪尔</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联系电话：</w:t>
            </w:r>
          </w:p>
        </w:tc>
        <w:tc>
          <w:tcPr>
            <w:tcW w:w="2480"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18609031700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441"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年度绩效目标</w:t>
            </w:r>
          </w:p>
        </w:tc>
        <w:tc>
          <w:tcPr>
            <w:tcW w:w="726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建设一支既有专业知识，又能教书育人的高质量教师队伍，完成校园绿化建设、坚持党的教育方针，坚持</w:t>
            </w:r>
            <w:r>
              <w:rPr>
                <w:rFonts w:hint="eastAsia" w:ascii="宋体" w:hAnsi="宋体" w:cs="宋体"/>
                <w:i w:val="0"/>
                <w:color w:val="000000"/>
                <w:kern w:val="0"/>
                <w:sz w:val="24"/>
                <w:szCs w:val="24"/>
                <w:u w:val="none"/>
                <w:lang w:val="en-US" w:eastAsia="zh-CN" w:bidi="ar"/>
              </w:rPr>
              <w:t>立德树人根本任务</w:t>
            </w:r>
            <w:r>
              <w:rPr>
                <w:rFonts w:hint="eastAsia" w:ascii="宋体" w:hAnsi="宋体" w:eastAsia="宋体" w:cs="宋体"/>
                <w:i w:val="0"/>
                <w:color w:val="000000"/>
                <w:kern w:val="0"/>
                <w:sz w:val="24"/>
                <w:szCs w:val="24"/>
                <w:u w:val="none"/>
                <w:lang w:val="en-US" w:eastAsia="zh-CN" w:bidi="ar"/>
              </w:rPr>
              <w:t>，教育大会精神，全面落实教育局决策部署，提升教育治理能力，回应社会关切，加快推 进教育现代化，紧紧围绕“教育方针”目标，谋划学校发展，统筹资金保障，加快学前教育普惠发展、均衡发展、优质发展：持续实施新优质中小学培育计划，促进教育教学质量提升：优化结构、合理布局，强力推进中小学阶段教育普及；加快推进义务教育产教融合深度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5" w:hRule="atLeast"/>
        </w:trPr>
        <w:tc>
          <w:tcPr>
            <w:tcW w:w="2158"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年度预算（万元）</w:t>
            </w:r>
          </w:p>
        </w:tc>
        <w:tc>
          <w:tcPr>
            <w:tcW w:w="3402" w:type="dxa"/>
            <w:gridSpan w:val="2"/>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资金来源</w:t>
            </w:r>
          </w:p>
        </w:tc>
        <w:tc>
          <w:tcPr>
            <w:tcW w:w="38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215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75" w:type="dxa"/>
            <w:vMerge w:val="restart"/>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财政资金（万元）</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上级资金</w:t>
            </w:r>
          </w:p>
        </w:tc>
        <w:tc>
          <w:tcPr>
            <w:tcW w:w="38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cs="宋体"/>
                <w:i w:val="0"/>
                <w:color w:val="000000"/>
                <w:kern w:val="0"/>
                <w:sz w:val="24"/>
                <w:szCs w:val="24"/>
                <w:u w:val="none"/>
                <w:lang w:val="en-US" w:eastAsia="zh-CN" w:bidi="ar"/>
              </w:rPr>
              <w:t>0</w:t>
            </w:r>
            <w:bookmarkStart w:id="0" w:name="_GoBack"/>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85" w:hRule="atLeast"/>
        </w:trPr>
        <w:tc>
          <w:tcPr>
            <w:tcW w:w="215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75"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本级资金</w:t>
            </w:r>
          </w:p>
        </w:tc>
        <w:tc>
          <w:tcPr>
            <w:tcW w:w="38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479.01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5" w:hRule="atLeast"/>
        </w:trPr>
        <w:tc>
          <w:tcPr>
            <w:tcW w:w="2158"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其他资金（万元）</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其他</w:t>
            </w:r>
          </w:p>
        </w:tc>
        <w:tc>
          <w:tcPr>
            <w:tcW w:w="3860" w:type="dxa"/>
            <w:gridSpan w:val="3"/>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585" w:hRule="atLeast"/>
        </w:trPr>
        <w:tc>
          <w:tcPr>
            <w:tcW w:w="2158"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一级指标</w:t>
            </w:r>
          </w:p>
        </w:tc>
        <w:tc>
          <w:tcPr>
            <w:tcW w:w="1575"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二级指标</w:t>
            </w:r>
          </w:p>
        </w:tc>
        <w:tc>
          <w:tcPr>
            <w:tcW w:w="1827"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三级指标</w:t>
            </w:r>
          </w:p>
        </w:tc>
        <w:tc>
          <w:tcPr>
            <w:tcW w:w="1380"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指标值</w:t>
            </w:r>
          </w:p>
        </w:tc>
        <w:tc>
          <w:tcPr>
            <w:tcW w:w="1459"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指标设定依据</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215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履职效能</w:t>
            </w: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开设班级数量</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=22个</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2025年工作计划</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27" w:hRule="atLeast"/>
        </w:trPr>
        <w:tc>
          <w:tcPr>
            <w:tcW w:w="21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开展党员教育培训活动</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&gt;=34次</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2025年工作计划</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7" w:hRule="atLeast"/>
        </w:trPr>
        <w:tc>
          <w:tcPr>
            <w:tcW w:w="21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开设公开课</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&gt;=33次</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2025年工作计划</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637" w:hRule="atLeast"/>
        </w:trPr>
        <w:tc>
          <w:tcPr>
            <w:tcW w:w="215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hint="eastAsia" w:ascii="宋体" w:hAnsi="宋体" w:eastAsia="宋体" w:cs="宋体"/>
                <w:i w:val="0"/>
                <w:color w:val="000000"/>
                <w:sz w:val="24"/>
                <w:szCs w:val="24"/>
                <w:u w:val="none"/>
              </w:rPr>
            </w:pPr>
          </w:p>
        </w:tc>
        <w:tc>
          <w:tcPr>
            <w:tcW w:w="157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数量指标</w:t>
            </w:r>
          </w:p>
        </w:tc>
        <w:tc>
          <w:tcPr>
            <w:tcW w:w="1827"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left"/>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信息化培训</w:t>
            </w:r>
          </w:p>
        </w:tc>
        <w:tc>
          <w:tcPr>
            <w:tcW w:w="138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&gt;=20次</w:t>
            </w:r>
          </w:p>
        </w:tc>
        <w:tc>
          <w:tcPr>
            <w:tcW w:w="14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2025年工作计划</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15</w:t>
            </w:r>
          </w:p>
        </w:tc>
      </w:tr>
    </w:tbl>
    <w:p>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p>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我单位无其他需说明事项。</w:t>
      </w:r>
    </w:p>
    <w:p>
      <w:pPr>
        <w:widowControl/>
        <w:spacing w:line="520" w:lineRule="exact"/>
        <w:jc w:val="left"/>
        <w:rPr>
          <w:rFonts w:ascii="仿宋_GB2312" w:hAnsi="宋体" w:eastAsia="仿宋_GB2312" w:cs="宋体"/>
          <w:kern w:val="0"/>
          <w:sz w:val="32"/>
          <w:szCs w:val="32"/>
        </w:rPr>
      </w:pPr>
    </w:p>
    <w:p>
      <w:pPr>
        <w:widowControl/>
        <w:jc w:val="left"/>
        <w:outlineLvl w:val="1"/>
        <w:rPr>
          <w:rFonts w:ascii="微软雅黑" w:hAnsi="微软雅黑" w:eastAsia="微软雅黑" w:cs="Times New Roman"/>
          <w:b/>
          <w:spacing w:val="40"/>
          <w:sz w:val="28"/>
          <w:szCs w:val="28"/>
        </w:rPr>
        <w:sectPr>
          <w:footerReference r:id="rId9" w:type="default"/>
          <w:pgSz w:w="11906" w:h="16838"/>
          <w:pgMar w:top="1440" w:right="1800" w:bottom="1440" w:left="1800" w:header="851" w:footer="992" w:gutter="0"/>
          <w:cols w:space="425" w:num="1"/>
          <w:docGrid w:type="lines" w:linePitch="312" w:charSpace="0"/>
        </w:sectPr>
      </w:pPr>
    </w:p>
    <w:p>
      <w:pPr>
        <w:widowControl/>
        <w:spacing w:before="217" w:beforeLines="50" w:line="52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第四部分 名词解释</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w:t>
      </w:r>
      <w:r>
        <w:rPr>
          <w:rFonts w:hint="eastAsia" w:ascii="仿宋_GB2312" w:eastAsia="仿宋_GB2312"/>
          <w:sz w:val="32"/>
          <w:szCs w:val="32"/>
          <w:lang w:eastAsia="zh-CN"/>
        </w:rPr>
        <w:t>费等</w:t>
      </w:r>
      <w:r>
        <w:rPr>
          <w:rFonts w:hint="eastAsia" w:ascii="仿宋_GB2312" w:eastAsia="仿宋_GB2312"/>
          <w:sz w:val="32"/>
          <w:szCs w:val="32"/>
        </w:rPr>
        <w:t>）；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left"/>
        <w:rPr>
          <w:rFonts w:ascii="仿宋_GB2312" w:hAnsi="宋体" w:eastAsia="仿宋_GB2312" w:cs="宋体"/>
          <w:kern w:val="0"/>
          <w:sz w:val="32"/>
          <w:szCs w:val="32"/>
        </w:rPr>
      </w:pPr>
    </w:p>
    <w:p>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墨玉县第六小学</w:t>
      </w:r>
    </w:p>
    <w:p>
      <w:pPr>
        <w:widowControl/>
        <w:wordWrap w:val="0"/>
        <w:spacing w:line="520" w:lineRule="exact"/>
        <w:jc w:val="right"/>
        <w:rPr>
          <w:rFonts w:hint="eastAsia" w:ascii="仿宋_GB2312" w:hAnsi="宋体" w:eastAsia="仿宋_GB2312" w:cs="宋体"/>
          <w:kern w:val="0"/>
          <w:sz w:val="32"/>
          <w:szCs w:val="32"/>
          <w:lang w:val="en-US" w:eastAsia="zh-CN"/>
        </w:rPr>
      </w:pPr>
      <w:r>
        <w:rPr>
          <w:rFonts w:hint="eastAsia" w:ascii="仿宋_GB2312" w:hAnsi="宋体" w:eastAsia="仿宋_GB2312" w:cs="宋体"/>
          <w:kern w:val="0"/>
          <w:sz w:val="32"/>
          <w:szCs w:val="32"/>
          <w:lang w:val="en-US" w:eastAsia="zh-CN"/>
        </w:rPr>
        <w:t xml:space="preserve">         </w:t>
      </w:r>
      <w:r>
        <w:rPr>
          <w:rFonts w:ascii="仿宋_GB2312" w:hAnsi="宋体" w:eastAsia="仿宋_GB2312" w:cs="宋体"/>
          <w:kern w:val="0"/>
          <w:sz w:val="32"/>
          <w:szCs w:val="32"/>
        </w:rPr>
        <w:t>2025年0</w:t>
      </w:r>
      <w:r>
        <w:rPr>
          <w:rFonts w:hint="eastAsia" w:ascii="仿宋_GB2312" w:hAnsi="宋体" w:eastAsia="仿宋_GB2312" w:cs="宋体"/>
          <w:kern w:val="0"/>
          <w:sz w:val="32"/>
          <w:szCs w:val="32"/>
          <w:lang w:val="en-US" w:eastAsia="zh-CN"/>
        </w:rPr>
        <w:t>2</w:t>
      </w:r>
      <w:r>
        <w:rPr>
          <w:rFonts w:ascii="仿宋_GB2312" w:hAnsi="宋体" w:eastAsia="仿宋_GB2312" w:cs="宋体"/>
          <w:kern w:val="0"/>
          <w:sz w:val="32"/>
          <w:szCs w:val="32"/>
        </w:rPr>
        <w:t>月</w:t>
      </w:r>
      <w:r>
        <w:rPr>
          <w:rFonts w:hint="eastAsia" w:ascii="仿宋_GB2312" w:hAnsi="宋体" w:eastAsia="仿宋_GB2312" w:cs="宋体"/>
          <w:kern w:val="0"/>
          <w:sz w:val="32"/>
          <w:szCs w:val="32"/>
          <w:lang w:val="en-US" w:eastAsia="zh-CN"/>
        </w:rPr>
        <w:t>04</w:t>
      </w:r>
      <w:r>
        <w:rPr>
          <w:rFonts w:ascii="仿宋_GB2312" w:hAnsi="宋体" w:eastAsia="仿宋_GB2312" w:cs="宋体"/>
          <w:kern w:val="0"/>
          <w:sz w:val="32"/>
          <w:szCs w:val="32"/>
        </w:rPr>
        <w:t>日</w:t>
      </w:r>
      <w:r>
        <w:rPr>
          <w:rFonts w:hint="eastAsia" w:ascii="仿宋_GB2312" w:hAnsi="宋体" w:eastAsia="仿宋_GB2312" w:cs="宋体"/>
          <w:kern w:val="0"/>
          <w:sz w:val="32"/>
          <w:szCs w:val="32"/>
          <w:lang w:val="en-US" w:eastAsia="zh-CN"/>
        </w:rPr>
        <w:t xml:space="preserve">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DDC7F8B"/>
    <w:rsid w:val="1BC06ECB"/>
    <w:rsid w:val="3DDC7F8B"/>
    <w:rsid w:val="44240858"/>
    <w:rsid w:val="632951D4"/>
    <w:rsid w:val="70C4433C"/>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7.xml"/><Relationship Id="rId8" Type="http://schemas.openxmlformats.org/officeDocument/2006/relationships/footer" Target="footer6.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31</Pages>
  <Words>2280</Words>
  <Characters>2519</Characters>
  <Lines>0</Lines>
  <Paragraphs>0</Paragraphs>
  <TotalTime>0</TotalTime>
  <ScaleCrop>false</ScaleCrop>
  <LinksUpToDate>false</LinksUpToDate>
  <CharactersWithSpaces>2597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Lenovo</cp:lastModifiedBy>
  <dcterms:modified xsi:type="dcterms:W3CDTF">2025-07-09T10:32:26Z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KSOTemplateDocerSaveRecord">
    <vt:lpwstr>eyJoZGlkIjoiNmQ3MmI4NTUxOWRlNTQyM2NhMGY0OTUwOGY5MWNhNTEiLCJ1c2VySWQiOiIzOTY0MzM4NzUifQ==</vt:lpwstr>
  </property>
  <property fmtid="{D5CDD505-2E9C-101B-9397-08002B2CF9AE}" pid="4" name="ICV">
    <vt:lpwstr>319A32AEAB4A4134B2E40676EBF1D763_12</vt:lpwstr>
  </property>
</Properties>
</file>