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墨玉县芒来乡中心小学</w:t>
      </w: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both"/>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widowControl/>
        <w:spacing w:line="600" w:lineRule="exact"/>
        <w:ind w:firstLine="883" w:firstLineChars="200"/>
        <w:jc w:val="both"/>
        <w:outlineLvl w:val="1"/>
        <w:rPr>
          <w:rFonts w:ascii="宋体" w:hAnsi="宋体"/>
          <w:b/>
          <w:kern w:val="0"/>
          <w:sz w:val="44"/>
          <w:szCs w:val="44"/>
        </w:rPr>
      </w:pP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一、关于墨玉县芒来乡中心小学单位2025年收支预算情况的总体说明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二、关于墨玉县芒来乡中心小学单位2025年收入预算情况说明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三、关于墨玉县芒来乡中心小学单位2025年支出预算情况说明</w:t>
      </w:r>
    </w:p>
    <w:p>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四、关于墨玉县芒来乡中心小学单位2025年财政拨款收支预算情况的总体说明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五、关于墨玉县芒来乡中心小学单位2025年一般公共预算当年拨款情况说明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六、关于墨玉县芒来乡中心小学单位2025年一般公共预算基本支出情况说明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七、关于墨玉县芒来乡中心小学单位2025年一般公共预算项目支出情况说明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八、关于墨玉县芒来乡中心小学单位2025年政府性基金预算拨款情况说明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九、关于墨玉县芒来乡中心小学单位2025年国有资本经营预算拨款情况说明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十、关于墨玉县芒来乡中心小学单位2025年财政拨款“三公”经费预算情况说明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十一、关于墨玉县芒来乡中心小学单位2025年上年结转结余预算情况说明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一、教育教学职能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‌课程实施与教学管理‌：严格执行国家课程方案，统筹地方课程开发及校本课程建设，确保教学计划有效落实‌。包括备课、授课、作业批改、学业考核等基础教学环节‌。</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‌教研与教育改革‌：组织教师开展教学研究，推进教学方法创新，提升教学质量，并通过实验教学、课题研究等方式深化教育改革‌。</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二、学生发展职能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‌德育与素质教育‌：开展思想品德教育、法治教育及心理健康辅导，落实社会主义核心价值观培养，促进学生德智体美劳全面发展‌。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‌学籍与特殊教育管理‌：规范招生、转学、休学等学籍管理，保障适龄儿童入学权益，同时推进“三残”儿童随班就读等特殊教育服务‌。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三、行政管理职能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‌制度与资源管理‌：制定校内规章制度，管理财务预算、资产配置及安全维护，确保办学资源合理使用‌。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‌标准化建设与安全治理‌：推动学校标准化建设，完善校园安全体系和后勤保障机制，维护师生合法权益‌。</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四、党组织领导职能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‌方向把控与决策监督‌：党组织全面领导学校工作，参与讨论发展规划、重大改革事项及人事管理，确保党的教育方针贯彻落实‌。</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‌党风廉政建设‌：落实廉政责任制度，规范干部选拔考核，强化纪律监督和违纪查处‌。</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五、教师发展职能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‌专业能力提升‌：组织教师参加继续教育，实施分级培养（如指导二、三级教师），促进教师队伍专业化发展‌。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‌考核与激励机制‌：完善教师聘用、职称评审及奖惩制度，优化人才引进与培养政策‌。</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六、家校社会协同职能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‌家校合作与社区联动‌：建立家长沟通机制，组织社会实践活动，形成“学校</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家庭</w:t>
      </w:r>
      <w:r>
        <w:rPr>
          <w:rFonts w:hint="eastAsia" w:ascii="仿宋_GB2312" w:hAnsi="黑体" w:eastAsia="仿宋_GB2312" w:cs="宋体"/>
          <w:bCs/>
          <w:kern w:val="0"/>
          <w:sz w:val="32"/>
          <w:szCs w:val="32"/>
          <w:lang w:eastAsia="zh-CN"/>
        </w:rPr>
        <w:t>－</w:t>
      </w:r>
      <w:r>
        <w:rPr>
          <w:rFonts w:hint="eastAsia" w:ascii="仿宋_GB2312" w:hAnsi="黑体" w:eastAsia="仿宋_GB2312" w:cs="宋体"/>
          <w:bCs/>
          <w:kern w:val="0"/>
          <w:sz w:val="32"/>
          <w:szCs w:val="32"/>
        </w:rPr>
        <w:t>社会”协同育人模式‌。</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‌对外交流与文化传播‌：开展校际合作、文化交流活动，提升校园文化建设水平，推动文明校园创建‌。</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上述职能通过多维协同，共同构建中小学教育生态体系，履行“为党育人、为国育才”的根本使命。</w:t>
      </w: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墨玉县芒来乡中心小学单位无下属预算单位，下设5个处室，分别是：党建办、教务科、德育办、总务办、教研室</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墨玉县芒来乡中心小学单位编制数261</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，实有人数309人，其中：在职260人，增加0人；退休49人，增加0人；离休0人，减少0人。</w:t>
      </w:r>
    </w:p>
    <w:p>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2" w:type="dxa"/>
            <w:gridSpan w:val="5"/>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08"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4771.85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4737.18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4678.59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58.59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4771.85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34.67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34.67</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4771.85</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4771.85</w:t>
            </w:r>
          </w:p>
        </w:tc>
      </w:tr>
    </w:tbl>
    <w:p>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3889"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4771.85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4737.18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4678.59</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58.59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4771.85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4737.18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4678.59</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58.59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4771.85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4737.18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4678.59</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58.59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34.67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4771.85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4737.18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4678.59</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58.59</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34.67</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bl>
    <w:p>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710" w:type="dxa"/>
            <w:gridSpan w:val="8"/>
            <w:tcBorders>
              <w:top w:val="nil"/>
              <w:left w:val="nil"/>
              <w:bottom w:val="nil"/>
              <w:right w:val="nil"/>
            </w:tcBorders>
          </w:tcPr>
          <w:p>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编制单位：墨玉县芒来乡中心小学</w:t>
            </w:r>
          </w:p>
        </w:tc>
        <w:tc>
          <w:tcPr>
            <w:tcW w:w="1300" w:type="dxa"/>
            <w:tcBorders>
              <w:top w:val="nil"/>
              <w:left w:val="nil"/>
              <w:bottom w:val="nil"/>
              <w:right w:val="nil"/>
            </w:tcBorders>
          </w:tcPr>
          <w:p>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4771.85</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4678.59</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93.26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4771.85</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4678.59</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93.26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4771.85</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4678.59</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93.26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4771.85</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4678.59</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93.26</w:t>
            </w:r>
          </w:p>
        </w:tc>
      </w:tr>
    </w:tbl>
    <w:p>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808" w:type="dxa"/>
            <w:gridSpan w:val="3"/>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4737.18</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4737.18</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4737.18</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4737.18</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4737.18</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4737.18</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4737.18</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5"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07"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tblPrEx>
          <w:tblLayout w:type="fixed"/>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tblPrEx>
          <w:tblLayout w:type="fixed"/>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4737.18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4678.59</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58.59</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4737.18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4678.59</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58.59</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4737.18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4678.59</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58.59</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4737.18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4678.59</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58.59</w:t>
            </w: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26"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0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tblPrEx>
          <w:tblLayout w:type="fixed"/>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tblPrEx>
          <w:tblLayout w:type="fixed"/>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4602.53</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4602.53</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1021.46</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1021.46</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1079.85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1079.85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713.38</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713.38</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703.47</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703.47</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491.80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491.80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199.79</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199.79</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23.93</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23.93</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368.85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368.85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76.06</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76.06</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76.06</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76.06</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4678.59</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4678.59</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bl>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2720"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pPr>
              <w:jc w:val="center"/>
              <w:rPr>
                <w:sz w:val="20"/>
                <w:szCs w:val="20"/>
              </w:rPr>
            </w:pPr>
          </w:p>
        </w:tc>
        <w:tc>
          <w:tcPr>
            <w:tcW w:w="2170" w:type="dxa"/>
            <w:vMerge w:val="continue"/>
            <w:shd w:val="clear" w:color="auto" w:fill="auto"/>
            <w:vAlign w:val="center"/>
          </w:tcPr>
          <w:p>
            <w:pPr>
              <w:jc w:val="center"/>
              <w:rPr>
                <w:sz w:val="20"/>
                <w:szCs w:val="20"/>
              </w:rPr>
            </w:pPr>
          </w:p>
        </w:tc>
        <w:tc>
          <w:tcPr>
            <w:tcW w:w="950" w:type="dxa"/>
            <w:vMerge w:val="continue"/>
            <w:shd w:val="clear" w:color="auto" w:fill="auto"/>
            <w:vAlign w:val="center"/>
          </w:tcPr>
          <w:p>
            <w:pPr>
              <w:jc w:val="center"/>
              <w:rPr>
                <w:sz w:val="20"/>
                <w:szCs w:val="20"/>
              </w:rPr>
            </w:pPr>
          </w:p>
        </w:tc>
        <w:tc>
          <w:tcPr>
            <w:tcW w:w="720" w:type="dxa"/>
            <w:vMerge w:val="continue"/>
            <w:shd w:val="clear" w:color="auto" w:fill="auto"/>
            <w:vAlign w:val="center"/>
          </w:tcPr>
          <w:p>
            <w:pPr>
              <w:jc w:val="center"/>
              <w:rPr>
                <w:sz w:val="20"/>
                <w:szCs w:val="20"/>
              </w:rPr>
            </w:pPr>
          </w:p>
        </w:tc>
        <w:tc>
          <w:tcPr>
            <w:tcW w:w="820" w:type="dxa"/>
            <w:vMerge w:val="continue"/>
            <w:shd w:val="clear" w:color="auto" w:fill="auto"/>
            <w:vAlign w:val="center"/>
          </w:tcPr>
          <w:p>
            <w:pPr>
              <w:jc w:val="center"/>
              <w:rPr>
                <w:sz w:val="20"/>
                <w:szCs w:val="20"/>
              </w:rPr>
            </w:pPr>
          </w:p>
        </w:tc>
        <w:tc>
          <w:tcPr>
            <w:tcW w:w="67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0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90" w:type="dxa"/>
            <w:vMerge w:val="continue"/>
            <w:shd w:val="clear" w:color="auto" w:fill="auto"/>
          </w:tcPr>
          <w:p>
            <w:pPr>
              <w:jc w:val="center"/>
              <w:rPr>
                <w:sz w:val="20"/>
                <w:szCs w:val="20"/>
              </w:rPr>
            </w:pPr>
          </w:p>
        </w:tc>
        <w:tc>
          <w:tcPr>
            <w:tcW w:w="640" w:type="dxa"/>
            <w:vMerge w:val="continue"/>
            <w:shd w:val="clear" w:color="auto" w:fill="auto"/>
            <w:vAlign w:val="center"/>
          </w:tcPr>
          <w:p>
            <w:pPr>
              <w:jc w:val="center"/>
              <w:rPr>
                <w:sz w:val="20"/>
                <w:szCs w:val="20"/>
              </w:rPr>
            </w:pPr>
          </w:p>
        </w:tc>
        <w:tc>
          <w:tcPr>
            <w:tcW w:w="700" w:type="dxa"/>
            <w:vMerge w:val="continue"/>
            <w:shd w:val="clear" w:color="auto" w:fill="auto"/>
          </w:tcPr>
          <w:p>
            <w:pPr>
              <w:jc w:val="center"/>
              <w:rPr>
                <w:sz w:val="20"/>
                <w:szCs w:val="20"/>
              </w:rPr>
            </w:pPr>
          </w:p>
        </w:tc>
        <w:tc>
          <w:tcPr>
            <w:tcW w:w="620" w:type="dxa"/>
            <w:vMerge w:val="continue"/>
            <w:shd w:val="clear" w:color="auto" w:fill="auto"/>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58.59</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24.46</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34.13</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58.59</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24.46</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34.13</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义务教育小学阶段公用经费（中央直达资金）（墨财教</w:t>
            </w:r>
            <w:r>
              <w:rPr>
                <w:rFonts w:hint="eastAsia" w:ascii="仿宋_GB2312" w:hAnsi="宋体" w:eastAsia="仿宋_GB2312" w:cs="宋体"/>
                <w:kern w:val="0"/>
                <w:sz w:val="18"/>
                <w:szCs w:val="18"/>
                <w:lang w:eastAsia="zh-CN"/>
              </w:rPr>
              <w:t>〔2023〕7号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0.39</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0.39</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0.99</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0.99</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16.90</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16.90</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义务教育小学阶段公用经费（自治区直达资金）（墨财教</w:t>
            </w:r>
            <w:r>
              <w:rPr>
                <w:rFonts w:hint="eastAsia" w:ascii="仿宋_GB2312" w:hAnsi="宋体" w:eastAsia="仿宋_GB2312" w:cs="宋体"/>
                <w:kern w:val="0"/>
                <w:sz w:val="18"/>
                <w:szCs w:val="18"/>
                <w:lang w:eastAsia="zh-CN"/>
              </w:rPr>
              <w:t>〔2023〕13号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2.68</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2.68</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3.29</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3.29</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3.83</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3.83</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6.05</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6.05</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2024年乡村教师生活补助资金（9-12月）（和地财教</w:t>
            </w:r>
            <w:r>
              <w:rPr>
                <w:rFonts w:hint="eastAsia" w:ascii="仿宋_GB2312" w:hAnsi="宋体" w:eastAsia="仿宋_GB2312" w:cs="宋体"/>
                <w:kern w:val="0"/>
                <w:sz w:val="18"/>
                <w:szCs w:val="18"/>
                <w:lang w:eastAsia="zh-CN"/>
              </w:rPr>
              <w:t>〔2023〕77号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〔2024〕39号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8.60</w:t>
            </w:r>
          </w:p>
        </w:tc>
        <w:tc>
          <w:tcPr>
            <w:tcW w:w="7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8.60</w:t>
            </w: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2024年乡村教师生活补助资金</w:t>
            </w:r>
            <w:r>
              <w:rPr>
                <w:rFonts w:hint="eastAsia" w:ascii="仿宋_GB2312" w:hAnsi="宋体" w:eastAsia="仿宋_GB2312" w:cs="宋体"/>
                <w:kern w:val="0"/>
                <w:sz w:val="18"/>
                <w:szCs w:val="18"/>
                <w:lang w:eastAsia="zh-CN"/>
              </w:rPr>
              <w:t>（</w:t>
            </w:r>
            <w:r>
              <w:rPr>
                <w:rFonts w:hint="eastAsia" w:ascii="仿宋_GB2312" w:hAnsi="宋体" w:eastAsia="仿宋_GB2312" w:cs="宋体"/>
                <w:kern w:val="0"/>
                <w:sz w:val="18"/>
                <w:szCs w:val="18"/>
              </w:rPr>
              <w:t>第二批）（和地财教</w:t>
            </w:r>
            <w:r>
              <w:rPr>
                <w:rFonts w:hint="eastAsia" w:ascii="仿宋_GB2312" w:hAnsi="宋体" w:eastAsia="仿宋_GB2312" w:cs="宋体"/>
                <w:kern w:val="0"/>
                <w:sz w:val="18"/>
                <w:szCs w:val="18"/>
                <w:lang w:eastAsia="zh-CN"/>
              </w:rPr>
              <w:t>〔2024〕30号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〔2024〕61号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15.86</w:t>
            </w:r>
          </w:p>
        </w:tc>
        <w:tc>
          <w:tcPr>
            <w:tcW w:w="7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15.86</w:t>
            </w:r>
          </w:p>
        </w:tc>
        <w:tc>
          <w:tcPr>
            <w:tcW w:w="820" w:type="dxa"/>
            <w:shd w:val="clear" w:color="auto" w:fill="auto"/>
            <w:vAlign w:val="center"/>
          </w:tcPr>
          <w:p>
            <w:pPr>
              <w:jc w:val="right"/>
              <w:rPr>
                <w:rFonts w:hint="eastAsia" w:ascii="仿宋_GB2312" w:hAnsi="宋体" w:eastAsia="仿宋_GB2312" w:cs="宋体"/>
                <w:sz w:val="18"/>
                <w:szCs w:val="18"/>
              </w:rPr>
            </w:pP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p>
        </w:tc>
        <w:tc>
          <w:tcPr>
            <w:tcW w:w="2170"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58.59</w:t>
            </w:r>
          </w:p>
        </w:tc>
        <w:tc>
          <w:tcPr>
            <w:tcW w:w="7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24.46</w:t>
            </w: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34.13</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bl>
    <w:p>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备注：墨玉县芒来乡中心小学2025年无政府性基金预算安排的支出，政府性基金预算支出情况表为空表。</w:t>
      </w: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备注：墨玉县芒来乡中心小学2025年无国有资本经营预算安排的支出，国有资本经营预算支出情况表为空表。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4"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12"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tblPrEx>
          <w:tblLayout w:type="fixed"/>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tblPrEx>
          <w:tblLayout w:type="fixed"/>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备注：墨玉县芒来乡中心小学2025年无财政拨款“三公”经费预算安排，财政拨款“三公”经费支出情况表为空表。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00" w:type="dxa"/>
            <w:gridSpan w:val="9"/>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编制单位：墨玉县芒来乡中心小学</w:t>
            </w:r>
          </w:p>
        </w:tc>
        <w:tc>
          <w:tcPr>
            <w:tcW w:w="1300"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3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备注：墨玉县芒来乡中心小学2025年无上年结转结余预算安排的支出，上年结转结余情况明细表为空表。</w:t>
      </w:r>
    </w:p>
    <w:p>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pPr>
        <w:widowControl w:val="0"/>
        <w:spacing w:before="0" w:beforeLines="0" w:line="560" w:lineRule="exact"/>
        <w:jc w:val="center"/>
        <w:outlineLvl w:val="9"/>
        <w:rPr>
          <w:rFonts w:ascii="楷体_GB2312" w:hAnsi="楷体_GB2312" w:eastAsia="楷体_GB2312"/>
          <w:kern w:val="0"/>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关于墨玉县芒来乡中心小学单位2025年收支预算情况的总体说明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按照全口径预算的原则，墨玉县芒来乡中心小学单位2025年所有收入和支出均纳入单位预算管理。收支总预算4771.85万元。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二、关于墨玉县芒来乡中心小学单位2025年收入预算情况说明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墨玉县芒来乡中心小学单位收入预算4771.85万元，其中：</w:t>
      </w:r>
    </w:p>
    <w:p>
      <w:pPr>
        <w:widowControl w:val="0"/>
        <w:spacing w:line="560" w:lineRule="exact"/>
        <w:ind w:firstLine="640" w:firstLineChars="200"/>
        <w:jc w:val="both"/>
        <w:rPr>
          <w:rFonts w:hint="eastAsia" w:ascii="仿宋_GB2312" w:hAnsi="宋体" w:eastAsia="仿宋_GB2312" w:cs="宋体"/>
          <w:color w:val="auto"/>
          <w:kern w:val="0"/>
          <w:sz w:val="32"/>
          <w:szCs w:val="32"/>
          <w:lang w:eastAsia="zh-CN"/>
        </w:rPr>
      </w:pPr>
      <w:r>
        <w:rPr>
          <w:rFonts w:hint="eastAsia" w:ascii="仿宋_GB2312" w:hAnsi="宋体" w:eastAsia="仿宋_GB2312" w:cs="宋体"/>
          <w:kern w:val="0"/>
          <w:sz w:val="32"/>
          <w:szCs w:val="32"/>
        </w:rPr>
        <w:t>一般公共预算4678.59万元，占98.05%，比上年预算减少125.76万元，下降2.62%，主要原因是</w:t>
      </w:r>
      <w:r>
        <w:rPr>
          <w:rFonts w:hint="eastAsia" w:ascii="仿宋_GB2312" w:hAnsi="宋体" w:eastAsia="仿宋_GB2312" w:cs="宋体"/>
          <w:color w:val="auto"/>
          <w:kern w:val="0"/>
          <w:sz w:val="32"/>
          <w:szCs w:val="32"/>
        </w:rPr>
        <w:t>2024年度</w:t>
      </w:r>
      <w:r>
        <w:rPr>
          <w:rFonts w:hint="eastAsia" w:ascii="仿宋_GB2312" w:hAnsi="宋体" w:eastAsia="仿宋_GB2312" w:cs="宋体"/>
          <w:color w:val="auto"/>
          <w:kern w:val="0"/>
          <w:sz w:val="32"/>
          <w:szCs w:val="32"/>
          <w:lang w:val="en-US" w:eastAsia="zh-CN"/>
        </w:rPr>
        <w:t>2</w:t>
      </w:r>
      <w:r>
        <w:rPr>
          <w:rFonts w:hint="eastAsia" w:ascii="仿宋_GB2312" w:hAnsi="宋体" w:eastAsia="仿宋_GB2312" w:cs="宋体"/>
          <w:color w:val="auto"/>
          <w:kern w:val="0"/>
          <w:sz w:val="32"/>
          <w:szCs w:val="32"/>
        </w:rPr>
        <w:t>人退休，</w:t>
      </w:r>
      <w:r>
        <w:rPr>
          <w:rFonts w:hint="eastAsia" w:ascii="仿宋_GB2312" w:hAnsi="宋体" w:eastAsia="仿宋_GB2312" w:cs="宋体"/>
          <w:color w:val="auto"/>
          <w:kern w:val="0"/>
          <w:sz w:val="32"/>
          <w:szCs w:val="32"/>
          <w:lang w:eastAsia="zh-CN"/>
        </w:rPr>
        <w:t>辞职</w:t>
      </w:r>
      <w:r>
        <w:rPr>
          <w:rFonts w:hint="eastAsia" w:ascii="仿宋_GB2312" w:hAnsi="宋体" w:eastAsia="仿宋_GB2312" w:cs="宋体"/>
          <w:color w:val="auto"/>
          <w:kern w:val="0"/>
          <w:sz w:val="32"/>
          <w:szCs w:val="32"/>
          <w:lang w:val="en-US" w:eastAsia="zh-CN"/>
        </w:rPr>
        <w:t>1人，</w:t>
      </w:r>
      <w:r>
        <w:rPr>
          <w:rFonts w:hint="eastAsia" w:ascii="仿宋_GB2312" w:hAnsi="宋体" w:eastAsia="仿宋_GB2312" w:cs="宋体"/>
          <w:color w:val="auto"/>
          <w:kern w:val="0"/>
          <w:sz w:val="32"/>
          <w:szCs w:val="32"/>
        </w:rPr>
        <w:t>在职人员减少。所以比上年预算减少下降2.62%</w:t>
      </w:r>
      <w:r>
        <w:rPr>
          <w:rFonts w:hint="eastAsia" w:ascii="仿宋_GB2312" w:hAnsi="宋体" w:eastAsia="仿宋_GB2312" w:cs="宋体"/>
          <w:color w:val="auto"/>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上级一般公共预算安排的转移支付58.59万元，占1.23%，比上年预算增加58.59万元，增长100.00%，主要原因是本年转移</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寄宿制生生活补助，‌改善办学条件资金，教师的工资与各种补助涨了</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单位资金34.67万元，占0.73%，比上年预算减少62.78万元，下降64.42%，主要原因是本年度比上年的预算的班减少了，所以单位</w:t>
      </w:r>
      <w:r>
        <w:rPr>
          <w:rFonts w:hint="eastAsia" w:ascii="仿宋_GB2312" w:hAnsi="宋体" w:eastAsia="仿宋_GB2312" w:cs="宋体"/>
          <w:kern w:val="0"/>
          <w:sz w:val="32"/>
          <w:szCs w:val="32"/>
          <w:lang w:val="en-US" w:eastAsia="zh-CN"/>
        </w:rPr>
        <w:t>资金</w:t>
      </w:r>
      <w:r>
        <w:rPr>
          <w:rFonts w:hint="eastAsia" w:ascii="仿宋_GB2312" w:hAnsi="宋体" w:eastAsia="仿宋_GB2312" w:cs="宋体"/>
          <w:kern w:val="0"/>
          <w:sz w:val="32"/>
          <w:szCs w:val="32"/>
        </w:rPr>
        <w:t>比上年下降64.42%</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财政拨款结转0.00万元，占0.00%，比上年预算减少195.75万元，下降100.00%，主要原因是本年</w:t>
      </w:r>
      <w:r>
        <w:rPr>
          <w:rFonts w:hint="eastAsia" w:ascii="仿宋_GB2312" w:hAnsi="宋体" w:eastAsia="仿宋_GB2312" w:cs="宋体"/>
          <w:kern w:val="0"/>
          <w:sz w:val="32"/>
          <w:szCs w:val="32"/>
          <w:lang w:eastAsia="zh-CN"/>
        </w:rPr>
        <w:t>度</w:t>
      </w:r>
      <w:r>
        <w:rPr>
          <w:rFonts w:hint="eastAsia" w:ascii="仿宋_GB2312" w:hAnsi="宋体" w:eastAsia="仿宋_GB2312" w:cs="宋体"/>
          <w:kern w:val="0"/>
          <w:sz w:val="32"/>
          <w:szCs w:val="32"/>
        </w:rPr>
        <w:t>所有的经费全部花完，没留结余资金所以下降100.00%</w:t>
      </w:r>
      <w:r>
        <w:rPr>
          <w:rFonts w:hint="eastAsia" w:ascii="仿宋_GB2312" w:hAnsi="宋体" w:eastAsia="仿宋_GB2312" w:cs="宋体"/>
          <w:kern w:val="0"/>
          <w:sz w:val="32"/>
          <w:szCs w:val="32"/>
          <w:lang w:eastAsia="zh-CN"/>
        </w:rPr>
        <w:t>。</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三、关于墨玉县芒来乡中心小学单位2025年支出预算情况说明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墨玉县芒来乡中心小学单位2025年支出预算4771.85万元，其中：</w:t>
      </w:r>
    </w:p>
    <w:p>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基本支出4678.59万元，占98.05%，比上年预算减少125.76万元，下降2.62%，主要原因是本年招聘</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rPr>
        <w:t>少，离职辞职人员比较多，还有学生数量比上年减少509多所以比上年预算下降2.62%。</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项目支出93.26万元，占1.95%，比上年预算减少199.94万元，下降68.19%，主要原因是上年度各个10所分校安装电锅炉项目还有今年项目都是校舍维修方面项目，所以比上年预算下降68.19%。</w:t>
      </w:r>
    </w:p>
    <w:p>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四、关于墨玉县芒来乡中心小学单位2025年财政拨款收支预算情况的总体说明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2025年财政拨款收支总预算4737.18万元。</w:t>
      </w:r>
    </w:p>
    <w:p>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收入预算包括：一般公共预算拨款4737.18万元。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一般公共预算支出包括：教育支出4737.18万元，主要用于保障单位正常运行的人员经费、公用经费支出。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五、关于墨玉县芒来乡中心小学单位2025年一般公共预算当年拨款情况说明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墨玉县芒来乡中心小学单位2025年一般公共预算拨款合计4737.18万元，其中：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基本支出4678.59万元，比上年预算减少125.76万元，下降2.62%。主要原因是：本年招聘</w:t>
      </w:r>
      <w:r>
        <w:rPr>
          <w:rFonts w:hint="eastAsia" w:ascii="仿宋_GB2312" w:eastAsia="仿宋_GB2312"/>
          <w:sz w:val="32"/>
          <w:szCs w:val="32"/>
          <w:lang w:eastAsia="zh-CN"/>
        </w:rPr>
        <w:t>人员</w:t>
      </w:r>
      <w:r>
        <w:rPr>
          <w:rFonts w:hint="eastAsia" w:ascii="仿宋_GB2312" w:eastAsia="仿宋_GB2312"/>
          <w:sz w:val="32"/>
          <w:szCs w:val="32"/>
        </w:rPr>
        <w:t>少，离职辞职人员比较多，还有学生数量比上年减少578多所以比上年预算下降2.62%。</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项目支出58.59万元，比上年预算增加58.59万元，增长100.00%。主要原因是：上年度教师和学生生活方面补贴、对个人和家庭补助没用，本年度上年度的一起补发所以增长100.00%。</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1.教育支出（类）4737.18万元，占100.0%。</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1.教育支出（类）普通教育（款）小学教育（项）：2025年预算数为4737.18万元，比上年预算减少67.17万元，下降1.40%，主要原因是：本年招聘</w:t>
      </w:r>
      <w:r>
        <w:rPr>
          <w:rFonts w:hint="eastAsia" w:ascii="仿宋_GB2312" w:hAnsi="宋体" w:eastAsia="仿宋_GB2312" w:cs="宋体"/>
          <w:kern w:val="0"/>
          <w:sz w:val="32"/>
          <w:szCs w:val="32"/>
          <w:lang w:eastAsia="zh-CN"/>
        </w:rPr>
        <w:t>人员</w:t>
      </w:r>
      <w:r>
        <w:rPr>
          <w:rFonts w:hint="eastAsia" w:ascii="仿宋_GB2312" w:hAnsi="宋体" w:eastAsia="仿宋_GB2312" w:cs="宋体"/>
          <w:kern w:val="0"/>
          <w:sz w:val="32"/>
          <w:szCs w:val="32"/>
        </w:rPr>
        <w:t>少，离职辞职人员比较多，还有学生数量比上年减少578多所以比上年预算下降1.4%。</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六、关于墨玉县芒来乡中心小学单位2025年一般公共预算基本支出情况说明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墨玉县芒来乡中心小学单位2025年一般公共预算基本支出4678.59万元，其中：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人员经费4678.59万元，主要包括：基本工资、津贴补贴、奖金、绩效工资、机关事业单位基本养老保险缴费、职工基本医疗保险缴费、其他社会保障缴费、住房公积金、退休费。</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七、关于墨玉县芒来乡中心小学单位2025年一般公共预算项目支出情况说明</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（一）项目名称：义务教育小学阶段公用经费（中央直达资金）（墨财教</w:t>
      </w:r>
      <w:r>
        <w:rPr>
          <w:rFonts w:hint="eastAsia" w:ascii="仿宋_GB2312" w:hAnsi="黑体" w:eastAsia="仿宋_GB2312"/>
          <w:sz w:val="32"/>
          <w:szCs w:val="32"/>
          <w:lang w:eastAsia="zh-CN"/>
        </w:rPr>
        <w:t>〔2023〕7号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预算安排规模：0.39万元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（二）项目名称：义务教育小学阶段公用经费（自治区直达资金）（墨财教</w:t>
      </w:r>
      <w:r>
        <w:rPr>
          <w:rFonts w:hint="eastAsia" w:ascii="仿宋_GB2312" w:hAnsi="黑体" w:eastAsia="仿宋_GB2312"/>
          <w:sz w:val="32"/>
          <w:szCs w:val="32"/>
          <w:lang w:eastAsia="zh-CN"/>
        </w:rPr>
        <w:t>〔2023〕13号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预算安排规模：2.68万元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预算安排规模：3.83万元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预算安排规模：6.05万元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预算安排规模：3.29万元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预算安排规模：16.90万元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预算安排规模：0.99万元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（八）项目名称：2024年乡村教师生活补助资金（9-12月）（和地财教</w:t>
      </w:r>
      <w:r>
        <w:rPr>
          <w:rFonts w:hint="eastAsia" w:ascii="仿宋_GB2312" w:hAnsi="黑体" w:eastAsia="仿宋_GB2312"/>
          <w:sz w:val="32"/>
          <w:szCs w:val="32"/>
          <w:lang w:eastAsia="zh-CN"/>
        </w:rPr>
        <w:t>〔2023〕77号</w:t>
      </w:r>
      <w:r>
        <w:rPr>
          <w:rFonts w:ascii="仿宋_GB2312" w:hAnsi="黑体" w:eastAsia="仿宋_GB2312"/>
          <w:sz w:val="32"/>
          <w:szCs w:val="32"/>
        </w:rPr>
        <w:t>、墨财教</w:t>
      </w:r>
      <w:r>
        <w:rPr>
          <w:rFonts w:hint="eastAsia" w:ascii="仿宋_GB2312" w:hAnsi="黑体" w:eastAsia="仿宋_GB2312"/>
          <w:sz w:val="32"/>
          <w:szCs w:val="32"/>
          <w:lang w:eastAsia="zh-CN"/>
        </w:rPr>
        <w:t>〔2024〕39号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预算安排规模：8.60万元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（九）项目名称：2024年乡村教师生活补助资金(第二批）（和地财教</w:t>
      </w:r>
      <w:r>
        <w:rPr>
          <w:rFonts w:hint="eastAsia" w:ascii="仿宋_GB2312" w:hAnsi="黑体" w:eastAsia="仿宋_GB2312"/>
          <w:sz w:val="32"/>
          <w:szCs w:val="32"/>
          <w:lang w:eastAsia="zh-CN"/>
        </w:rPr>
        <w:t>〔2024〕30号</w:t>
      </w:r>
      <w:r>
        <w:rPr>
          <w:rFonts w:ascii="仿宋_GB2312" w:hAnsi="黑体" w:eastAsia="仿宋_GB2312"/>
          <w:sz w:val="32"/>
          <w:szCs w:val="32"/>
        </w:rPr>
        <w:t>、墨财教</w:t>
      </w:r>
      <w:r>
        <w:rPr>
          <w:rFonts w:hint="eastAsia" w:ascii="仿宋_GB2312" w:hAnsi="黑体" w:eastAsia="仿宋_GB2312"/>
          <w:sz w:val="32"/>
          <w:szCs w:val="32"/>
          <w:lang w:eastAsia="zh-CN"/>
        </w:rPr>
        <w:t>〔2024〕61号</w:t>
      </w:r>
      <w:r>
        <w:rPr>
          <w:rFonts w:ascii="仿宋_GB2312" w:hAnsi="黑体" w:eastAsia="仿宋_GB2312"/>
          <w:sz w:val="32"/>
          <w:szCs w:val="32"/>
        </w:rPr>
        <w:t>）</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设立的政策依据：义务教育公用经费管理办法</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预算安排规模：15.86万元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项目承担单位：墨玉县芒来乡中心小学</w:t>
      </w:r>
    </w:p>
    <w:p>
      <w:pPr>
        <w:widowControl w:val="0"/>
        <w:spacing w:line="560" w:lineRule="exact"/>
        <w:ind w:firstLine="640" w:firstLineChars="200"/>
        <w:jc w:val="both"/>
        <w:rPr>
          <w:rFonts w:hint="eastAsia" w:ascii="仿宋_GB2312" w:hAnsi="黑体" w:eastAsia="仿宋_GB2312"/>
          <w:sz w:val="32"/>
          <w:szCs w:val="32"/>
          <w:lang w:eastAsia="zh-CN"/>
        </w:rPr>
      </w:pPr>
      <w:r>
        <w:rPr>
          <w:rFonts w:hint="eastAsia" w:ascii="仿宋_GB2312" w:hAnsi="黑体" w:eastAsia="仿宋_GB2312"/>
          <w:sz w:val="32"/>
          <w:szCs w:val="32"/>
          <w:lang w:eastAsia="zh-CN"/>
        </w:rPr>
        <w:t>资金分配情况：用于保障学校的运转</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八、关于墨玉县芒来乡中心小学单位2025年政府性基金预算拨款情况说明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墨玉县芒来乡中心小学单位2025年没有使用政府性基金预算拨款安排的支出，政府性基金预算支出情况表为空表。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九、关于墨玉县芒来乡中心小学单位2025年国有资本经营预算拨款情况说明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墨玉县芒来乡中心小学单位2025年没有使用国有资本经营预算拨款安排的支出，国有资本经营预算支出情况表为空表。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十、关于墨玉县芒来乡中心小学单位2025年财政拨款“三公”经费预算情况说明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墨玉县芒来乡中心小学单位2025年财政拨款“三公”经费数为0.00万元，其中：因公出国（境）费0.00万元，公务用车购置费0.00万元，公务用车运行费0.00万元，公务接待费0.00万元。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本年度无公务用车运行费；公务接待费减少0.00万元，下降0.00%，主要原因是本年度无公务接待费。</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十一、关于墨玉县芒来乡中心小学单位2025年上年结转结余预算情况说明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墨玉县芒来乡中心小学单位2025年没有上年结转结余预算的支出，上年结转结余情况明细表为空表。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widowControl w:val="0"/>
        <w:spacing w:line="560" w:lineRule="exact"/>
        <w:ind w:firstLine="640" w:firstLineChars="200"/>
        <w:jc w:val="both"/>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墨玉县芒来乡中心小学单位2025年的事业单位运行经费财政拨款预算0.00万元，比上年预算减少0.00万元，下降0.00%。主要原因是</w:t>
      </w:r>
      <w:r>
        <w:rPr>
          <w:rFonts w:hint="eastAsia" w:ascii="仿宋_GB2312" w:hAnsi="宋体" w:eastAsia="仿宋_GB2312" w:cs="宋体"/>
          <w:kern w:val="0"/>
          <w:sz w:val="32"/>
          <w:szCs w:val="32"/>
          <w:lang w:val="en-US" w:eastAsia="zh-CN"/>
        </w:rPr>
        <w:t>未安排单位运行经费预算。</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2025年，墨玉县芒来乡中心小学单位政府采购预算0万元，其中：政府采购货物预算0万元，政府采购工程预算0万元，政府采购服务预算0万元。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2025年，墨玉县芒来乡中心小学单位面向中小企业预留政府采购项目预算金额0万元，小微企业预留政府采购项目预算金额0万元。</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截至2024年底，墨玉县芒来乡中心小学单位及下属各预算单位占用使用国有资产总体情况为：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3.办公家具价值23.59万元。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4678.59万元；当年预算安排项目共0个，其中：财政拨款项目涉及预算金额0万元；非财政拨款项目涉及预算金额0万元。具体情况见下表（按项目分别填报）：</w:t>
      </w: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p>
    <w:p>
      <w:pPr>
        <w:widowControl/>
        <w:spacing w:line="600" w:lineRule="exact"/>
        <w:rPr>
          <w:rFonts w:ascii="仿宋_GB2312" w:hAnsi="宋体" w:eastAsia="仿宋_GB2312" w:cs="宋体"/>
          <w:kern w:val="0"/>
          <w:sz w:val="32"/>
          <w:szCs w:val="32"/>
        </w:rPr>
      </w:pPr>
      <w:bookmarkStart w:id="0" w:name="_GoBack"/>
      <w:bookmarkEnd w:id="0"/>
    </w:p>
    <w:tbl>
      <w:tblPr>
        <w:tblStyle w:val="3"/>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08"/>
        <w:gridCol w:w="1538"/>
        <w:gridCol w:w="1784"/>
        <w:gridCol w:w="1348"/>
        <w:gridCol w:w="1425"/>
        <w:gridCol w:w="9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28" w:hRule="atLeast"/>
        </w:trPr>
        <w:tc>
          <w:tcPr>
            <w:tcW w:w="9200" w:type="dxa"/>
            <w:gridSpan w:val="6"/>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07" w:hRule="atLeast"/>
        </w:trPr>
        <w:tc>
          <w:tcPr>
            <w:tcW w:w="9200" w:type="dxa"/>
            <w:gridSpan w:val="6"/>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210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709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墨玉县芒来乡中心小学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08" w:hRule="atLeast"/>
        </w:trPr>
        <w:tc>
          <w:tcPr>
            <w:tcW w:w="210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3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亚库普江·艾尔肯</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4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13119033824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60" w:hRule="atLeast"/>
        </w:trPr>
        <w:tc>
          <w:tcPr>
            <w:tcW w:w="210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709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我校针对提升教学水平进行了详细的研究与讨论，结合实际情况，提高教学质量，牢固树立以提高保教质量为核心的教育发展观，不断提升我校的办学水平和办园特色，强化我校的教学管理和教育教学水平，制定此提升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210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32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77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7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77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4678.59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7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77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7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77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7" w:hRule="atLeast"/>
        </w:trPr>
        <w:tc>
          <w:tcPr>
            <w:tcW w:w="210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53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99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210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5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教师队伍建设完成率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6" w:hRule="atLeast"/>
        </w:trPr>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小学毕业合格率</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=100%</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30" w:hRule="atLeast"/>
        </w:trPr>
        <w:tc>
          <w:tcPr>
            <w:tcW w:w="21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春季秋季开学之前大型修缮</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&gt;=2次</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2025年度工作计划</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16" w:hRule="atLeast"/>
        </w:trPr>
        <w:tc>
          <w:tcPr>
            <w:tcW w:w="210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服务对象满意度</w:t>
            </w:r>
          </w:p>
        </w:tc>
        <w:tc>
          <w:tcPr>
            <w:tcW w:w="15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满意度指标</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学生与家长满意度</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&gt;=95%</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99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r>
    </w:tbl>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pPr>
        <w:widowControl/>
        <w:spacing w:line="520" w:lineRule="exact"/>
        <w:jc w:val="left"/>
        <w:rPr>
          <w:rFonts w:ascii="仿宋_GB2312" w:hAnsi="宋体" w:eastAsia="仿宋_GB2312" w:cs="宋体"/>
          <w:kern w:val="0"/>
          <w:sz w:val="32"/>
          <w:szCs w:val="32"/>
        </w:rPr>
      </w:pPr>
    </w:p>
    <w:p>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墨玉县芒来乡中心小学</w:t>
      </w:r>
    </w:p>
    <w:p>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0EE42ABE"/>
    <w:rsid w:val="1A0A279A"/>
    <w:rsid w:val="3DDC7F8B"/>
    <w:rsid w:val="411E4E0A"/>
    <w:rsid w:val="610107F1"/>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8471</Words>
  <Characters>10149</Characters>
  <Lines>0</Lines>
  <Paragraphs>0</Paragraphs>
  <TotalTime>8</TotalTime>
  <ScaleCrop>false</ScaleCrop>
  <LinksUpToDate>false</LinksUpToDate>
  <CharactersWithSpaces>10319</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Lenovo</cp:lastModifiedBy>
  <dcterms:modified xsi:type="dcterms:W3CDTF">2025-06-25T04:07:13Z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KSOTemplateDocerSaveRecord">
    <vt:lpwstr>eyJoZGlkIjoiNjUzOTU3Mzk5YzI3YWZhODkwY2QxOTYwNjg2NWQ1NWYiLCJ1c2VySWQiOiIzOTY0MzM4NzUifQ==</vt:lpwstr>
  </property>
  <property fmtid="{D5CDD505-2E9C-101B-9397-08002B2CF9AE}" pid="4" name="ICV">
    <vt:lpwstr>03EBCB88F2EB42E59B9E42987DAACECE_12</vt:lpwstr>
  </property>
</Properties>
</file>