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墨玉县英也尔乡中心小学</w:t>
      </w: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2025年单位预算公开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widowControl/>
        <w:spacing w:line="600" w:lineRule="exact"/>
        <w:ind w:firstLine="883" w:firstLineChars="200"/>
        <w:jc w:val="both"/>
        <w:outlineLvl w:val="1"/>
        <w:rPr>
          <w:rFonts w:ascii="宋体" w:hAnsi="宋体"/>
          <w:b/>
          <w:kern w:val="0"/>
          <w:sz w:val="44"/>
          <w:szCs w:val="44"/>
        </w:rPr>
      </w:pP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2025年单位概况</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2025年单位预算公开表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2025年单位预算情况说明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一、关于墨玉县英也尔乡中心小学单位2025年收支预算情况的总体说明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二、关于墨玉县英也尔乡中心小学单位2025年收入预算情况说明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三、关于墨玉县英也尔乡中心小学单位2025年支出预算情况说明</w:t>
      </w:r>
    </w:p>
    <w:p>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四、关于墨玉县英也尔乡中心小学单位2025年财政拨款收支预算情况的总体说明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五、关于墨玉县英也尔乡中心小学单位2025年一般公共预算当年拨款情况说明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六、关于墨玉县英也尔乡中心小学单位2025年一般公共预算基本支出情况说明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七、关于墨玉县英也尔乡中心小学单位2025年一般公共预算项目支出情况说明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八、关于墨玉县英也尔乡中心小学单位2025年政府性基金预算拨款情况说明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九、关于墨玉县英也尔乡中心小学单位2025年国有资本经营预算拨款情况说明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十、关于墨玉县英也尔乡中心小学单位2025年财政拨款“三公”经费预算情况说明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十一、关于墨玉县英也尔乡中心小学单位2025年上年结转结余预算情况说明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jc w:val="center"/>
        <w:outlineLvl w:val="1"/>
        <w:rPr>
          <w:rFonts w:ascii="黑体" w:hAnsi="黑体" w:eastAsia="黑体"/>
          <w:kern w:val="0"/>
          <w:sz w:val="32"/>
          <w:szCs w:val="32"/>
        </w:rPr>
      </w:pPr>
      <w:r>
        <w:rPr>
          <w:rFonts w:ascii="微软雅黑" w:hAnsi="Calibri" w:eastAsia="微软雅黑" w:cs="Times New Roman"/>
          <w:b/>
          <w:bCs/>
          <w:kern w:val="44"/>
          <w:sz w:val="28"/>
          <w:szCs w:val="28"/>
        </w:rPr>
        <w:br w:type="page"/>
      </w:r>
      <w:r>
        <w:rPr>
          <w:rFonts w:hint="eastAsia" w:ascii="黑体" w:hAnsi="黑体" w:eastAsia="黑体"/>
          <w:kern w:val="0"/>
          <w:sz w:val="32"/>
          <w:szCs w:val="32"/>
        </w:rPr>
        <w:t>第一部分 2025年单位概况</w:t>
      </w:r>
    </w:p>
    <w:p>
      <w:pPr>
        <w:widowControl/>
        <w:jc w:val="center"/>
        <w:outlineLvl w:val="1"/>
        <w:rPr>
          <w:rFonts w:ascii="宋体" w:hAnsi="宋体"/>
          <w:b/>
          <w:kern w:val="0"/>
          <w:sz w:val="32"/>
          <w:szCs w:val="32"/>
        </w:rPr>
      </w:pPr>
    </w:p>
    <w:p>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义务教育是国家基础教育的重要组成部分，是培养社会主义建设者和接班人的关键阶段。义务教育岗位的职责是保障每个孩子接受良好的基础教育，提供平等、普及、有质量的教育机会，促进社会公平，推动全民素质提升。</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教育教学工作义务教育岗位的首要职责是负责教育教学工作。具体包括：制定教育教学计划和教学大纲，确保教育教学工作符合国家相关规定和要求；组织实施教育教学工作，提供规范、富有启发性的教育教学活动；进行学生评价和成绩统计工作，及时反馈学生学习情况给家长、学生及相关部门提供学生学习的指导和辅导，关注每个学生的发展和成长，培养他们的综合素质；开展教育教学研究，不断提升自身教育教学水平。</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学校全面完成教育局安排的各项工作，杜绝学校群体性事件的发生。加强学校党建工作建设，组建学习型党员队伍，全面提升我校党建业务水平，加强学校班子队伍建设做到“目标上合心、工作中合拍、困难前合力”共同营造良好融洽的工作氛围，加强校园安全文化建设和宣传，加强学生安全教育，杜绝发生安全事故。加强学校安全隐患排查力度，进一步健全完善学校安全隐患排查整治工作机制，加强德育工作常规管理，促进德育常规管理制度化、规范化和有序化。加强教师教学常规和课堂教学的管理、督导与检查，提高教师的教学研究能力与业务水平。加强班级和学生学习管理，全面提高各年级教学成绩。</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3.加强理论学习，确立新课程、新观念、新方法、新实践的理念，苦练内功，提高教师队伍素质。加强教研常规管理，确保教学质量的提高。强化教学质量监测，抓好毕业班备考工作。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2.部门机构设置及人员构成</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墨玉县英也尔乡中小学校是下属预算单位，分别是：校办、总务科、教务科，德育办，安保科，校医室，财务科等、本单位属于全额事业单位。墨玉县英也尔乡中小学校单位事业编制数139人，实有人数166人，其中：在职144人，退休22人，离休0人，借调人员0人。</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w:t>
      </w: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墨玉县英也尔乡中心小学单位无下属预算单位，下设6个处室，分别是：教务办、总务办、德育办、安全办、财务室、党建办</w:t>
      </w:r>
      <w:r>
        <w:rPr>
          <w:rFonts w:hint="eastAsia" w:ascii="仿宋_GB2312" w:hAnsi="宋体" w:eastAsia="仿宋_GB2312" w:cs="宋体"/>
          <w:kern w:val="0"/>
          <w:sz w:val="32"/>
          <w:szCs w:val="32"/>
        </w:rPr>
        <w:t>。</w:t>
      </w:r>
    </w:p>
    <w:p>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墨玉县英也尔乡中心小学单位编制数139，实有人数166人，其中：在职144人，增加0人；退休22人，增加0人；离休0人，减少0人。</w:t>
      </w:r>
    </w:p>
    <w:p>
      <w:pPr>
        <w:widowControl/>
        <w:spacing w:before="120"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2025年单位预算公开表</w:t>
      </w:r>
    </w:p>
    <w:p>
      <w:pPr>
        <w:widowControl/>
        <w:spacing w:before="120" w:beforeLines="50"/>
        <w:outlineLvl w:val="1"/>
        <w:rPr>
          <w:rFonts w:hint="eastAsia" w:ascii="宋体" w:hAnsi="宋体" w:eastAsia="宋体" w:cs="宋体"/>
          <w:kern w:val="0"/>
          <w:sz w:val="20"/>
          <w:szCs w:val="20"/>
        </w:rPr>
      </w:pPr>
      <w:r>
        <w:rPr>
          <w:rFonts w:hint="eastAsia" w:ascii="宋体" w:hAnsi="宋体" w:eastAsia="宋体" w:cs="宋体"/>
          <w:kern w:val="0"/>
          <w:sz w:val="20"/>
          <w:szCs w:val="20"/>
        </w:rPr>
        <w:t>表1</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3"/>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567"/>
        <w:gridCol w:w="1701"/>
        <w:gridCol w:w="2693"/>
        <w:gridCol w:w="756"/>
        <w:gridCol w:w="945"/>
        <w:gridCol w:w="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2" w:type="dxa"/>
            <w:gridSpan w:val="5"/>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编制单位：墨玉县英也尔乡中心小学</w:t>
            </w:r>
          </w:p>
        </w:tc>
        <w:tc>
          <w:tcPr>
            <w:tcW w:w="1308" w:type="dxa"/>
            <w:gridSpan w:val="2"/>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exact"/>
        </w:trPr>
        <w:tc>
          <w:tcPr>
            <w:tcW w:w="2567"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2737.01</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2713.99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2629.80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84.19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2737.01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23.02</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23.02</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2737.01</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2737.01</w:t>
            </w:r>
          </w:p>
        </w:tc>
      </w:tr>
    </w:tbl>
    <w:p>
      <w:pPr>
        <w:widowControl/>
        <w:jc w:val="left"/>
        <w:outlineLvl w:val="1"/>
        <w:rPr>
          <w:rFonts w:ascii="微软雅黑" w:hAnsi="微软雅黑" w:eastAsia="微软雅黑" w:cs="Times New Roman"/>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hint="eastAsia" w:ascii="宋体" w:hAnsi="宋体" w:eastAsia="宋体" w:cs="宋体"/>
          <w:kern w:val="0"/>
          <w:sz w:val="20"/>
          <w:szCs w:val="20"/>
        </w:rPr>
      </w:pPr>
      <w:r>
        <w:rPr>
          <w:rFonts w:hint="eastAsia" w:ascii="宋体" w:hAnsi="宋体" w:eastAsia="宋体" w:cs="宋体"/>
          <w:kern w:val="0"/>
          <w:sz w:val="20"/>
          <w:szCs w:val="20"/>
        </w:rPr>
        <w:t>表2</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3"/>
        <w:tblpPr w:leftFromText="180" w:rightFromText="180" w:vertAnchor="text" w:horzAnchor="page" w:tblpX="1676" w:tblpY="5"/>
        <w:tblOverlap w:val="never"/>
        <w:tblW w:w="13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0"/>
        <w:gridCol w:w="3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编制单位：墨玉县英也尔乡中心小学</w:t>
            </w:r>
          </w:p>
        </w:tc>
        <w:tc>
          <w:tcPr>
            <w:tcW w:w="3889" w:type="dxa"/>
            <w:tcBorders>
              <w:top w:val="nil"/>
              <w:left w:val="nil"/>
              <w:bottom w:val="nil"/>
              <w:right w:val="nil"/>
            </w:tcBorders>
          </w:tcPr>
          <w:p>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hint="eastAsia" w:ascii="仿宋_GB2312" w:eastAsia="仿宋_GB2312"/>
                <w:b/>
                <w:color w:val="000000"/>
                <w:sz w:val="20"/>
                <w:szCs w:val="20"/>
              </w:rPr>
            </w:pPr>
            <w:r>
              <w:rPr>
                <w:rFonts w:hint="eastAsia" w:ascii="仿宋_GB2312" w:hAnsi="宋体" w:eastAsia="仿宋_GB2312" w:cs="宋体"/>
                <w:b/>
                <w:bCs w:val="0"/>
                <w:color w:val="000000"/>
                <w:sz w:val="24"/>
                <w:szCs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bCs w:val="0"/>
                <w:color w:val="000000"/>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2737.01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2713.99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2629.80</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84.19</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23.02</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2737.01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2713.99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2629.80</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84.19</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23.02</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2737.01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2713.99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2629.80</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84.19</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23.02</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合    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2737.01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2713.99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2629.80</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84.19</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23.02</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bl>
    <w:p>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表3</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3"/>
        <w:tblW w:w="9010"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489"/>
        <w:gridCol w:w="400"/>
        <w:gridCol w:w="400"/>
        <w:gridCol w:w="2415"/>
        <w:gridCol w:w="1760"/>
        <w:gridCol w:w="1761"/>
        <w:gridCol w:w="475"/>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7710" w:type="dxa"/>
            <w:gridSpan w:val="8"/>
            <w:tcBorders>
              <w:top w:val="nil"/>
              <w:left w:val="nil"/>
              <w:bottom w:val="nil"/>
              <w:right w:val="nil"/>
            </w:tcBorders>
          </w:tcPr>
          <w:p>
            <w:pPr>
              <w:widowControl/>
              <w:jc w:val="left"/>
              <w:outlineLvl w:val="1"/>
              <w:rPr>
                <w:rFonts w:ascii="仿宋_GB2312" w:hAnsi="宋体" w:eastAsia="仿宋_GB2312"/>
                <w:b/>
                <w:kern w:val="0"/>
                <w:sz w:val="32"/>
                <w:szCs w:val="32"/>
                <w:vertAlign w:val="baseline"/>
              </w:rPr>
            </w:pPr>
            <w:r>
              <w:rPr>
                <w:rFonts w:hint="eastAsia" w:ascii="仿宋_GB2312" w:eastAsia="仿宋_GB2312"/>
                <w:color w:val="000000"/>
                <w:sz w:val="24"/>
                <w:szCs w:val="24"/>
              </w:rPr>
              <w:t>编制单位：墨玉县英也尔乡中心小学</w:t>
            </w:r>
          </w:p>
        </w:tc>
        <w:tc>
          <w:tcPr>
            <w:tcW w:w="1300" w:type="dxa"/>
            <w:tcBorders>
              <w:top w:val="nil"/>
              <w:left w:val="nil"/>
              <w:bottom w:val="nil"/>
              <w:right w:val="nil"/>
            </w:tcBorders>
          </w:tcPr>
          <w:p>
            <w:pPr>
              <w:widowControl/>
              <w:jc w:val="right"/>
              <w:outlineLvl w:val="1"/>
              <w:rPr>
                <w:rFonts w:ascii="仿宋_GB2312" w:hAnsi="宋体" w:eastAsia="仿宋_GB2312"/>
                <w:b/>
                <w:kern w:val="0"/>
                <w:sz w:val="32"/>
                <w:szCs w:val="32"/>
                <w:vertAlign w:val="baseline"/>
              </w:rPr>
            </w:pPr>
            <w:r>
              <w:rPr>
                <w:rFonts w:hint="eastAsia" w:ascii="仿宋_GB2312" w:eastAsia="仿宋_GB2312"/>
                <w:sz w:val="24"/>
                <w:szCs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345" w:hRule="atLeast"/>
          <w:tblHeader/>
        </w:trPr>
        <w:tc>
          <w:tcPr>
            <w:tcW w:w="3704"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科目</w:t>
            </w:r>
          </w:p>
        </w:tc>
        <w:tc>
          <w:tcPr>
            <w:tcW w:w="5296"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80" w:hRule="atLeast"/>
          <w:tblHeader/>
        </w:trPr>
        <w:tc>
          <w:tcPr>
            <w:tcW w:w="128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415"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760"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76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775" w:type="dxa"/>
            <w:gridSpan w:val="2"/>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270"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41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c>
          <w:tcPr>
            <w:tcW w:w="176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c>
          <w:tcPr>
            <w:tcW w:w="176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c>
          <w:tcPr>
            <w:tcW w:w="17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2737.01</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2629.80</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107.21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2737.01</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2629.80</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107.21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2737.01</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2629.80</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107.21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     计</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2737.01</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2629.80</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107.21</w:t>
            </w:r>
          </w:p>
        </w:tc>
      </w:tr>
    </w:tbl>
    <w:p>
      <w:pPr>
        <w:widowControl/>
        <w:spacing w:before="120" w:beforeLines="50"/>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表4</w:t>
      </w:r>
    </w:p>
    <w:p>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3"/>
        <w:tblW w:w="9035"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1930"/>
        <w:gridCol w:w="1000"/>
        <w:gridCol w:w="2650"/>
        <w:gridCol w:w="930"/>
        <w:gridCol w:w="707"/>
        <w:gridCol w:w="213"/>
        <w:gridCol w:w="800"/>
        <w:gridCol w:w="795"/>
        <w:gridCol w:w="5"/>
      </w:tblGrid>
      <w:tr>
        <w:tblPrEx>
          <w:tblLayout w:type="fixed"/>
          <w:tblCellMar>
            <w:top w:w="0" w:type="dxa"/>
            <w:left w:w="108" w:type="dxa"/>
            <w:bottom w:w="0" w:type="dxa"/>
            <w:right w:w="108" w:type="dxa"/>
          </w:tblCellMar>
        </w:tblPrEx>
        <w:trPr>
          <w:gridAfter w:val="1"/>
          <w:wAfter w:w="5" w:type="dxa"/>
        </w:trPr>
        <w:tc>
          <w:tcPr>
            <w:tcW w:w="7222" w:type="dxa"/>
            <w:gridSpan w:val="6"/>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编制单位：墨玉县英也尔乡中心小学</w:t>
            </w:r>
          </w:p>
        </w:tc>
        <w:tc>
          <w:tcPr>
            <w:tcW w:w="1808" w:type="dxa"/>
            <w:gridSpan w:val="3"/>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285" w:hRule="atLeast"/>
        </w:trPr>
        <w:tc>
          <w:tcPr>
            <w:tcW w:w="29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100" w:type="dxa"/>
            <w:gridSpan w:val="7"/>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465"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2713.99</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2713.99</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2713.99</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2713.99</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2713.99</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2713.99</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2713.99</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bl>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表5</w:t>
      </w:r>
    </w:p>
    <w:p>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3"/>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15"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编制单位：墨玉县英也尔乡中心小学</w:t>
            </w:r>
          </w:p>
        </w:tc>
        <w:tc>
          <w:tcPr>
            <w:tcW w:w="1307"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1" w:type="dxa"/>
        <w:tblInd w:w="93" w:type="dxa"/>
        <w:tblLayout w:type="fixed"/>
        <w:tblCellMar>
          <w:top w:w="0" w:type="dxa"/>
          <w:left w:w="108" w:type="dxa"/>
          <w:bottom w:w="0" w:type="dxa"/>
          <w:right w:w="108" w:type="dxa"/>
        </w:tblCellMar>
      </w:tblPr>
      <w:tblGrid>
        <w:gridCol w:w="568"/>
        <w:gridCol w:w="568"/>
        <w:gridCol w:w="618"/>
        <w:gridCol w:w="2510"/>
        <w:gridCol w:w="1684"/>
        <w:gridCol w:w="1842"/>
        <w:gridCol w:w="1651"/>
      </w:tblGrid>
      <w:tr>
        <w:tblPrEx>
          <w:tblLayout w:type="fixed"/>
          <w:tblCellMar>
            <w:top w:w="0" w:type="dxa"/>
            <w:left w:w="108" w:type="dxa"/>
            <w:bottom w:w="0" w:type="dxa"/>
            <w:right w:w="108" w:type="dxa"/>
          </w:tblCellMar>
        </w:tblPrEx>
        <w:trPr>
          <w:trHeight w:val="405" w:hRule="atLeast"/>
          <w:tblHeader/>
        </w:trPr>
        <w:tc>
          <w:tcPr>
            <w:tcW w:w="4264" w:type="dxa"/>
            <w:gridSpan w:val="4"/>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科目</w:t>
            </w:r>
          </w:p>
        </w:tc>
        <w:tc>
          <w:tcPr>
            <w:tcW w:w="5177" w:type="dxa"/>
            <w:gridSpan w:val="3"/>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一般公共预算支出</w:t>
            </w:r>
          </w:p>
        </w:tc>
      </w:tr>
      <w:tr>
        <w:tblPrEx>
          <w:tblLayout w:type="fixed"/>
          <w:tblCellMar>
            <w:top w:w="0" w:type="dxa"/>
            <w:left w:w="108" w:type="dxa"/>
            <w:bottom w:w="0" w:type="dxa"/>
            <w:right w:w="108" w:type="dxa"/>
          </w:tblCellMar>
        </w:tblPrEx>
        <w:trPr>
          <w:trHeight w:val="465" w:hRule="atLeast"/>
          <w:tblHeader/>
        </w:trPr>
        <w:tc>
          <w:tcPr>
            <w:tcW w:w="1754"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842"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65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Layout w:type="fixed"/>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68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84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65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2713.99</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2629.80</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84.19</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2713.99</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2629.80</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84.19</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2713.99</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2629.80</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84.19</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  计</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2713.99</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2629.80</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84.19</w:t>
            </w:r>
          </w:p>
        </w:tc>
      </w:tr>
    </w:tbl>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表6</w:t>
      </w:r>
    </w:p>
    <w:p>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3"/>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26"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编制单位：墨玉县英也尔乡中心小学</w:t>
            </w:r>
          </w:p>
        </w:tc>
        <w:tc>
          <w:tcPr>
            <w:tcW w:w="1308"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328" w:type="dxa"/>
        <w:tblInd w:w="93" w:type="dxa"/>
        <w:tblLayout w:type="fixed"/>
        <w:tblCellMar>
          <w:top w:w="0" w:type="dxa"/>
          <w:left w:w="108" w:type="dxa"/>
          <w:bottom w:w="0" w:type="dxa"/>
          <w:right w:w="108" w:type="dxa"/>
        </w:tblCellMar>
      </w:tblPr>
      <w:tblGrid>
        <w:gridCol w:w="757"/>
        <w:gridCol w:w="577"/>
        <w:gridCol w:w="2891"/>
        <w:gridCol w:w="1701"/>
        <w:gridCol w:w="1701"/>
        <w:gridCol w:w="1701"/>
      </w:tblGrid>
      <w:tr>
        <w:tblPrEx>
          <w:tblLayout w:type="fixed"/>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一般公共预算基本支出</w:t>
            </w:r>
          </w:p>
        </w:tc>
      </w:tr>
      <w:tr>
        <w:tblPrEx>
          <w:tblLayout w:type="fixed"/>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tblPrEx>
          <w:tblLayout w:type="fixed"/>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000000"/>
                <w:kern w:val="0"/>
                <w:sz w:val="20"/>
                <w:szCs w:val="20"/>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2595.45</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2595.45</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587.81</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587.81</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604.37</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604.37</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398.15</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398.15</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390.85</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390.85</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277.52</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277.52</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112.74</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112.74</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15.87</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15.87</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208.14</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208.14</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34.35</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34.35</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34.35</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34.35</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  计</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2629.80</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2629.80</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bl>
    <w:p>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表7</w:t>
      </w:r>
    </w:p>
    <w:p>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3"/>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50"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编制单位：墨玉县英也尔乡中心小学</w:t>
            </w:r>
          </w:p>
        </w:tc>
        <w:tc>
          <w:tcPr>
            <w:tcW w:w="2720" w:type="dxa"/>
            <w:tcBorders>
              <w:top w:val="nil"/>
              <w:left w:val="nil"/>
              <w:bottom w:val="nil"/>
              <w:right w:val="nil"/>
            </w:tcBorders>
          </w:tcPr>
          <w:p>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Layout w:type="fixed"/>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pPr>
              <w:jc w:val="center"/>
              <w:rPr>
                <w:sz w:val="20"/>
                <w:szCs w:val="20"/>
              </w:rPr>
            </w:pPr>
          </w:p>
        </w:tc>
        <w:tc>
          <w:tcPr>
            <w:tcW w:w="2170" w:type="dxa"/>
            <w:vMerge w:val="continue"/>
            <w:shd w:val="clear" w:color="auto" w:fill="auto"/>
            <w:vAlign w:val="center"/>
          </w:tcPr>
          <w:p>
            <w:pPr>
              <w:jc w:val="center"/>
              <w:rPr>
                <w:sz w:val="20"/>
                <w:szCs w:val="20"/>
              </w:rPr>
            </w:pPr>
          </w:p>
        </w:tc>
        <w:tc>
          <w:tcPr>
            <w:tcW w:w="950" w:type="dxa"/>
            <w:vMerge w:val="continue"/>
            <w:shd w:val="clear" w:color="auto" w:fill="auto"/>
            <w:vAlign w:val="center"/>
          </w:tcPr>
          <w:p>
            <w:pPr>
              <w:jc w:val="center"/>
              <w:rPr>
                <w:sz w:val="20"/>
                <w:szCs w:val="20"/>
              </w:rPr>
            </w:pPr>
          </w:p>
        </w:tc>
        <w:tc>
          <w:tcPr>
            <w:tcW w:w="720" w:type="dxa"/>
            <w:vMerge w:val="continue"/>
            <w:shd w:val="clear" w:color="auto" w:fill="auto"/>
            <w:vAlign w:val="center"/>
          </w:tcPr>
          <w:p>
            <w:pPr>
              <w:jc w:val="center"/>
              <w:rPr>
                <w:sz w:val="20"/>
                <w:szCs w:val="20"/>
              </w:rPr>
            </w:pPr>
          </w:p>
        </w:tc>
        <w:tc>
          <w:tcPr>
            <w:tcW w:w="820" w:type="dxa"/>
            <w:vMerge w:val="continue"/>
            <w:shd w:val="clear" w:color="auto" w:fill="auto"/>
            <w:vAlign w:val="center"/>
          </w:tcPr>
          <w:p>
            <w:pPr>
              <w:jc w:val="center"/>
              <w:rPr>
                <w:sz w:val="20"/>
                <w:szCs w:val="20"/>
              </w:rPr>
            </w:pPr>
          </w:p>
        </w:tc>
        <w:tc>
          <w:tcPr>
            <w:tcW w:w="670" w:type="dxa"/>
            <w:vMerge w:val="continue"/>
            <w:shd w:val="clear" w:color="auto" w:fill="auto"/>
            <w:vAlign w:val="center"/>
          </w:tcPr>
          <w:p>
            <w:pPr>
              <w:jc w:val="center"/>
              <w:rPr>
                <w:sz w:val="20"/>
                <w:szCs w:val="20"/>
              </w:rPr>
            </w:pPr>
          </w:p>
        </w:tc>
        <w:tc>
          <w:tcPr>
            <w:tcW w:w="710" w:type="dxa"/>
            <w:vMerge w:val="continue"/>
            <w:shd w:val="clear" w:color="auto" w:fill="auto"/>
            <w:vAlign w:val="center"/>
          </w:tcPr>
          <w:p>
            <w:pPr>
              <w:jc w:val="center"/>
              <w:rPr>
                <w:sz w:val="20"/>
                <w:szCs w:val="20"/>
              </w:rPr>
            </w:pPr>
          </w:p>
        </w:tc>
        <w:tc>
          <w:tcPr>
            <w:tcW w:w="700" w:type="dxa"/>
            <w:vMerge w:val="continue"/>
            <w:shd w:val="clear" w:color="auto" w:fill="auto"/>
            <w:vAlign w:val="center"/>
          </w:tcPr>
          <w:p>
            <w:pPr>
              <w:jc w:val="center"/>
              <w:rPr>
                <w:sz w:val="20"/>
                <w:szCs w:val="20"/>
              </w:rPr>
            </w:pPr>
          </w:p>
        </w:tc>
        <w:tc>
          <w:tcPr>
            <w:tcW w:w="710" w:type="dxa"/>
            <w:vMerge w:val="continue"/>
            <w:shd w:val="clear" w:color="auto" w:fill="auto"/>
            <w:vAlign w:val="center"/>
          </w:tcPr>
          <w:p>
            <w:pPr>
              <w:jc w:val="center"/>
              <w:rPr>
                <w:sz w:val="20"/>
                <w:szCs w:val="20"/>
              </w:rPr>
            </w:pPr>
          </w:p>
        </w:tc>
        <w:tc>
          <w:tcPr>
            <w:tcW w:w="790" w:type="dxa"/>
            <w:vMerge w:val="continue"/>
            <w:shd w:val="clear" w:color="auto" w:fill="auto"/>
          </w:tcPr>
          <w:p>
            <w:pPr>
              <w:jc w:val="center"/>
              <w:rPr>
                <w:sz w:val="20"/>
                <w:szCs w:val="20"/>
              </w:rPr>
            </w:pPr>
          </w:p>
        </w:tc>
        <w:tc>
          <w:tcPr>
            <w:tcW w:w="640" w:type="dxa"/>
            <w:vMerge w:val="continue"/>
            <w:shd w:val="clear" w:color="auto" w:fill="auto"/>
            <w:vAlign w:val="center"/>
          </w:tcPr>
          <w:p>
            <w:pPr>
              <w:jc w:val="center"/>
              <w:rPr>
                <w:sz w:val="20"/>
                <w:szCs w:val="20"/>
              </w:rPr>
            </w:pPr>
          </w:p>
        </w:tc>
        <w:tc>
          <w:tcPr>
            <w:tcW w:w="700" w:type="dxa"/>
            <w:vMerge w:val="continue"/>
            <w:shd w:val="clear" w:color="auto" w:fill="auto"/>
          </w:tcPr>
          <w:p>
            <w:pPr>
              <w:jc w:val="center"/>
              <w:rPr>
                <w:sz w:val="20"/>
                <w:szCs w:val="20"/>
              </w:rPr>
            </w:pPr>
          </w:p>
        </w:tc>
        <w:tc>
          <w:tcPr>
            <w:tcW w:w="620" w:type="dxa"/>
            <w:vMerge w:val="continue"/>
            <w:shd w:val="clear" w:color="auto" w:fill="auto"/>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pPr>
              <w:jc w:val="center"/>
              <w:rPr>
                <w:rFonts w:hint="eastAsia" w:ascii="仿宋_GB2312" w:hAnsi="宋体" w:eastAsia="仿宋_GB2312" w:cs="宋体"/>
                <w:b/>
                <w:sz w:val="18"/>
                <w:szCs w:val="18"/>
              </w:rPr>
            </w:pP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pPr>
              <w:jc w:val="left"/>
              <w:rPr>
                <w:rFonts w:hint="eastAsia" w:ascii="仿宋_GB2312" w:hAnsi="宋体" w:eastAsia="仿宋_GB2312" w:cs="宋体"/>
                <w:b/>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84.19</w:t>
            </w:r>
          </w:p>
        </w:tc>
        <w:tc>
          <w:tcPr>
            <w:tcW w:w="7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24.52</w:t>
            </w:r>
          </w:p>
        </w:tc>
        <w:tc>
          <w:tcPr>
            <w:tcW w:w="8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59.67</w:t>
            </w: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pPr>
              <w:jc w:val="left"/>
              <w:rPr>
                <w:rFonts w:hint="eastAsia" w:ascii="仿宋_GB2312" w:hAnsi="宋体" w:eastAsia="仿宋_GB2312" w:cs="宋体"/>
                <w:b/>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84.19</w:t>
            </w:r>
          </w:p>
        </w:tc>
        <w:tc>
          <w:tcPr>
            <w:tcW w:w="7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24.52</w:t>
            </w:r>
          </w:p>
        </w:tc>
        <w:tc>
          <w:tcPr>
            <w:tcW w:w="8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59.67</w:t>
            </w: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2024年义务教育特教阶段公用经费（第二批中央直达资金）（和地财教</w:t>
            </w:r>
            <w:r>
              <w:rPr>
                <w:rFonts w:hint="eastAsia" w:ascii="仿宋_GB2312" w:hAnsi="宋体" w:eastAsia="仿宋_GB2312" w:cs="宋体"/>
                <w:kern w:val="0"/>
                <w:sz w:val="18"/>
                <w:szCs w:val="18"/>
                <w:lang w:eastAsia="zh-CN"/>
              </w:rPr>
              <w:t>〔2024〕18号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〔2024〕48号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0.03</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0.03</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2023年义务教育特教阶段公用经费自治区第二批直达资金（和地财教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0.56</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0.56</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义务教育小学阶段公用经费（中央直达资金）（和地财教</w:t>
            </w:r>
            <w:r>
              <w:rPr>
                <w:rFonts w:hint="eastAsia" w:ascii="仿宋_GB2312" w:hAnsi="宋体" w:eastAsia="仿宋_GB2312" w:cs="宋体"/>
                <w:kern w:val="0"/>
                <w:sz w:val="18"/>
                <w:szCs w:val="18"/>
                <w:lang w:eastAsia="zh-CN"/>
              </w:rPr>
              <w:t>〔2023〕60号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〔2024〕12号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9.17</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9.17</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2023年义务教育小学阶段公用经费自治区第二批直达资金（和地财教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8.63</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8.63</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义务教育小学阶段公用经费（第二批中央直达资金）（墨财教</w:t>
            </w:r>
            <w:r>
              <w:rPr>
                <w:rFonts w:hint="eastAsia" w:ascii="仿宋_GB2312" w:hAnsi="宋体" w:eastAsia="仿宋_GB2312" w:cs="宋体"/>
                <w:kern w:val="0"/>
                <w:sz w:val="18"/>
                <w:szCs w:val="18"/>
                <w:lang w:eastAsia="zh-CN"/>
              </w:rPr>
              <w:t>〔2023〕33号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41.28</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41.28</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2024年乡村教师生活补助资金（9-12月）（和地财教</w:t>
            </w:r>
            <w:r>
              <w:rPr>
                <w:rFonts w:hint="eastAsia" w:ascii="仿宋_GB2312" w:hAnsi="宋体" w:eastAsia="仿宋_GB2312" w:cs="宋体"/>
                <w:kern w:val="0"/>
                <w:sz w:val="18"/>
                <w:szCs w:val="18"/>
                <w:lang w:eastAsia="zh-CN"/>
              </w:rPr>
              <w:t>〔2023〕77号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〔2024〕39号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8.73</w:t>
            </w:r>
          </w:p>
        </w:tc>
        <w:tc>
          <w:tcPr>
            <w:tcW w:w="7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8.73</w:t>
            </w:r>
          </w:p>
        </w:tc>
        <w:tc>
          <w:tcPr>
            <w:tcW w:w="820" w:type="dxa"/>
            <w:shd w:val="clear" w:color="auto" w:fill="auto"/>
            <w:vAlign w:val="center"/>
          </w:tcPr>
          <w:p>
            <w:pPr>
              <w:jc w:val="right"/>
              <w:rPr>
                <w:rFonts w:hint="eastAsia" w:ascii="仿宋_GB2312" w:hAnsi="宋体" w:eastAsia="仿宋_GB2312" w:cs="宋体"/>
                <w:sz w:val="18"/>
                <w:szCs w:val="18"/>
              </w:rPr>
            </w:pP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2024年乡村教师生活补助资金(第二批）（和地财教</w:t>
            </w:r>
            <w:r>
              <w:rPr>
                <w:rFonts w:hint="eastAsia" w:ascii="仿宋_GB2312" w:hAnsi="宋体" w:eastAsia="仿宋_GB2312" w:cs="宋体"/>
                <w:kern w:val="0"/>
                <w:sz w:val="18"/>
                <w:szCs w:val="18"/>
                <w:lang w:eastAsia="zh-CN"/>
              </w:rPr>
              <w:t>〔2024〕30号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〔2024〕61号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15.79</w:t>
            </w:r>
          </w:p>
        </w:tc>
        <w:tc>
          <w:tcPr>
            <w:tcW w:w="7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15.79</w:t>
            </w:r>
          </w:p>
        </w:tc>
        <w:tc>
          <w:tcPr>
            <w:tcW w:w="820" w:type="dxa"/>
            <w:shd w:val="clear" w:color="auto" w:fill="auto"/>
            <w:vAlign w:val="center"/>
          </w:tcPr>
          <w:p>
            <w:pPr>
              <w:jc w:val="right"/>
              <w:rPr>
                <w:rFonts w:hint="eastAsia" w:ascii="仿宋_GB2312" w:hAnsi="宋体" w:eastAsia="仿宋_GB2312" w:cs="宋体"/>
                <w:sz w:val="18"/>
                <w:szCs w:val="18"/>
              </w:rPr>
            </w:pP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p>
        </w:tc>
        <w:tc>
          <w:tcPr>
            <w:tcW w:w="567" w:type="dxa"/>
            <w:shd w:val="clear" w:color="auto" w:fill="auto"/>
            <w:vAlign w:val="center"/>
          </w:tcPr>
          <w:p>
            <w:pPr>
              <w:jc w:val="center"/>
              <w:rPr>
                <w:rFonts w:hint="eastAsia" w:ascii="仿宋_GB2312" w:hAnsi="宋体" w:eastAsia="仿宋_GB2312" w:cs="宋体"/>
                <w:b/>
                <w:sz w:val="18"/>
                <w:szCs w:val="18"/>
              </w:rPr>
            </w:pP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p>
        </w:tc>
        <w:tc>
          <w:tcPr>
            <w:tcW w:w="2170"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合 计</w:t>
            </w: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84.19</w:t>
            </w:r>
          </w:p>
        </w:tc>
        <w:tc>
          <w:tcPr>
            <w:tcW w:w="7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24.52</w:t>
            </w:r>
          </w:p>
        </w:tc>
        <w:tc>
          <w:tcPr>
            <w:tcW w:w="8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59.67</w:t>
            </w: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bl>
    <w:p>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表8</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80"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编制单位：墨玉县英也尔乡中心小学</w:t>
            </w:r>
          </w:p>
        </w:tc>
        <w:tc>
          <w:tcPr>
            <w:tcW w:w="1318"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tblPrEx>
          <w:tblLayout w:type="fixed"/>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Layout w:type="fixed"/>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tblPrEx>
          <w:tblLayout w:type="fixed"/>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备注：墨玉县英也尔乡中心小学2025年无政府性基金预算安排的支出，政府性基金预算支出情况表为空表。</w:t>
      </w:r>
    </w:p>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表9</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80"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编制单位：墨玉县英也尔乡中心小学</w:t>
            </w:r>
          </w:p>
        </w:tc>
        <w:tc>
          <w:tcPr>
            <w:tcW w:w="1318"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tblPrEx>
          <w:tblLayout w:type="fixed"/>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tblPrEx>
          <w:tblLayout w:type="fixed"/>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tblPrEx>
          <w:tblLayout w:type="fixed"/>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备注：墨玉县英也尔乡中心小学2025年无国有资本经营预算安排的支出，国有资本经营预算支出情况表为空表。</w:t>
      </w: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表10</w:t>
      </w:r>
    </w:p>
    <w:p>
      <w:pPr>
        <w:widowControl/>
        <w:jc w:val="left"/>
        <w:outlineLvl w:val="1"/>
        <w:rPr>
          <w:rFonts w:ascii="仿宋_GB2312" w:hAnsi="宋体" w:eastAsia="仿宋_GB2312"/>
          <w:b/>
          <w:kern w:val="0"/>
          <w:sz w:val="32"/>
          <w:szCs w:val="32"/>
        </w:rPr>
      </w:pPr>
    </w:p>
    <w:p>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4"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编制单位：墨玉县英也尔乡中心小学</w:t>
            </w:r>
          </w:p>
        </w:tc>
        <w:tc>
          <w:tcPr>
            <w:tcW w:w="1312"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0" w:type="dxa"/>
        <w:tblInd w:w="93" w:type="dxa"/>
        <w:tblLayout w:type="fixed"/>
        <w:tblCellMar>
          <w:top w:w="0" w:type="dxa"/>
          <w:left w:w="108" w:type="dxa"/>
          <w:bottom w:w="0" w:type="dxa"/>
          <w:right w:w="108" w:type="dxa"/>
        </w:tblCellMar>
      </w:tblPr>
      <w:tblGrid>
        <w:gridCol w:w="3287"/>
        <w:gridCol w:w="1417"/>
        <w:gridCol w:w="1559"/>
        <w:gridCol w:w="1518"/>
        <w:gridCol w:w="1659"/>
      </w:tblGrid>
      <w:tr>
        <w:tblPrEx>
          <w:tblLayout w:type="fixed"/>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合计</w:t>
            </w:r>
          </w:p>
        </w:tc>
        <w:tc>
          <w:tcPr>
            <w:tcW w:w="4736"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资金来源</w:t>
            </w:r>
          </w:p>
        </w:tc>
      </w:tr>
      <w:tr>
        <w:tblPrEx>
          <w:tblLayout w:type="fixed"/>
          <w:tblCellMar>
            <w:top w:w="0" w:type="dxa"/>
            <w:left w:w="108" w:type="dxa"/>
            <w:bottom w:w="0" w:type="dxa"/>
            <w:right w:w="108" w:type="dxa"/>
          </w:tblCellMar>
        </w:tblPrEx>
        <w:trPr>
          <w:trHeight w:val="810" w:hRule="atLeast"/>
        </w:trPr>
        <w:tc>
          <w:tcPr>
            <w:tcW w:w="328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lang w:val="en-US" w:eastAsia="zh-CN"/>
              </w:rPr>
              <w:t xml:space="preserve">      </w:t>
            </w: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备注：墨玉县英也尔乡中心小学2025年无财政拨款“三公”经费预算安排，财政拨款“三公”经费支出情况表为空表。</w:t>
      </w: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表11</w:t>
      </w:r>
    </w:p>
    <w:p>
      <w:pPr>
        <w:widowControl/>
        <w:jc w:val="left"/>
        <w:outlineLvl w:val="1"/>
        <w:rPr>
          <w:rFonts w:ascii="仿宋_GB2312" w:hAnsi="宋体" w:eastAsia="仿宋_GB2312"/>
          <w:b/>
          <w:kern w:val="0"/>
          <w:sz w:val="32"/>
          <w:szCs w:val="32"/>
        </w:rPr>
      </w:pPr>
    </w:p>
    <w:p>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50"/>
        <w:gridCol w:w="850"/>
        <w:gridCol w:w="850"/>
        <w:gridCol w:w="850"/>
        <w:gridCol w:w="850"/>
        <w:gridCol w:w="850"/>
        <w:gridCol w:w="850"/>
        <w:gridCol w:w="400"/>
        <w:gridCol w:w="4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00" w:type="dxa"/>
            <w:gridSpan w:val="9"/>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编制单位：墨玉县英也尔乡中心小学</w:t>
            </w:r>
          </w:p>
        </w:tc>
        <w:tc>
          <w:tcPr>
            <w:tcW w:w="1300" w:type="dxa"/>
            <w:gridSpan w:val="2"/>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3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400"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400" w:type="dxa"/>
            <w:gridSpan w:val="5"/>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35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70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700" w:type="dxa"/>
            <w:gridSpan w:val="3"/>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3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gridSpan w:val="2"/>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3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3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350" w:type="dxa"/>
            <w:noWrap w:val="0"/>
            <w:vAlign w:val="center"/>
          </w:tcPr>
          <w:p>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b/>
                <w:bCs/>
                <w:kern w:val="0"/>
                <w:sz w:val="20"/>
                <w:szCs w:val="20"/>
              </w:rPr>
              <w:t>总计</w:t>
            </w:r>
          </w:p>
        </w:tc>
        <w:tc>
          <w:tcPr>
            <w:tcW w:w="850" w:type="dxa"/>
            <w:noWrap w:val="0"/>
            <w:vAlign w:val="center"/>
          </w:tcPr>
          <w:p>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备注：墨玉县英也尔乡中心小学2025年无上年结转结余预算安排的支出，上年结转结余情况明细表为空表。</w:t>
      </w:r>
    </w:p>
    <w:p>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widowControl w:val="0"/>
        <w:spacing w:before="0" w:beforeLines="0" w:line="560" w:lineRule="exact"/>
        <w:jc w:val="center"/>
        <w:outlineLvl w:val="9"/>
        <w:rPr>
          <w:rFonts w:hint="eastAsia" w:ascii="黑体" w:hAnsi="黑体" w:eastAsia="黑体"/>
          <w:kern w:val="0"/>
          <w:sz w:val="32"/>
          <w:szCs w:val="32"/>
        </w:rPr>
      </w:pPr>
      <w:r>
        <w:rPr>
          <w:rFonts w:hint="eastAsia" w:ascii="黑体" w:hAnsi="黑体" w:eastAsia="黑体"/>
          <w:kern w:val="0"/>
          <w:sz w:val="32"/>
          <w:szCs w:val="32"/>
        </w:rPr>
        <w:t>第三部分 2025年单位预算情况说明</w:t>
      </w:r>
    </w:p>
    <w:p>
      <w:pPr>
        <w:widowControl w:val="0"/>
        <w:spacing w:before="0" w:beforeLines="0" w:line="560" w:lineRule="exact"/>
        <w:jc w:val="center"/>
        <w:outlineLvl w:val="9"/>
        <w:rPr>
          <w:rFonts w:ascii="楷体_GB2312" w:hAnsi="楷体_GB2312" w:eastAsia="楷体_GB2312"/>
          <w:kern w:val="0"/>
          <w:sz w:val="32"/>
          <w:szCs w:val="32"/>
        </w:rPr>
      </w:pP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关于墨玉县英也尔乡中心小学单位2025年收支预算情况的总体说明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按照全口径预算的原则，墨玉县英也尔乡中心小学单位2025年所有收入和支出均纳入单位预算管理。收支总预算2737.01万元。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二、关于墨玉县英也尔乡中心小学单位2025年收入预算情况说明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墨玉县英也尔乡中心小学单位收入预算2737.01万元，其中：</w:t>
      </w:r>
    </w:p>
    <w:p>
      <w:pPr>
        <w:widowControl w:val="0"/>
        <w:spacing w:line="560" w:lineRule="exact"/>
        <w:ind w:firstLine="640" w:firstLineChars="200"/>
        <w:jc w:val="both"/>
        <w:rPr>
          <w:rFonts w:hint="eastAsia" w:ascii="仿宋_GB2312" w:hAnsi="宋体" w:eastAsia="仿宋_GB2312" w:cs="宋体"/>
          <w:color w:val="auto"/>
          <w:kern w:val="0"/>
          <w:sz w:val="32"/>
          <w:szCs w:val="32"/>
          <w:lang w:eastAsia="zh-CN"/>
        </w:rPr>
      </w:pPr>
      <w:r>
        <w:rPr>
          <w:rFonts w:hint="eastAsia" w:ascii="仿宋_GB2312" w:hAnsi="宋体" w:eastAsia="仿宋_GB2312" w:cs="宋体"/>
          <w:kern w:val="0"/>
          <w:sz w:val="32"/>
          <w:szCs w:val="32"/>
        </w:rPr>
        <w:t>一般公共预算2629.80万元，占96.08%，比上年预算减少114.03万元，下降4.16%，</w:t>
      </w:r>
      <w:r>
        <w:rPr>
          <w:rFonts w:hint="eastAsia" w:ascii="仿宋_GB2312" w:hAnsi="宋体" w:eastAsia="仿宋_GB2312" w:cs="宋体"/>
          <w:kern w:val="0"/>
          <w:sz w:val="32"/>
          <w:szCs w:val="32"/>
          <w:lang w:eastAsia="zh-CN"/>
        </w:rPr>
        <w:t>主要原因是</w:t>
      </w:r>
      <w:r>
        <w:rPr>
          <w:rFonts w:hint="eastAsia" w:ascii="仿宋_GB2312" w:hAnsi="宋体" w:eastAsia="仿宋_GB2312" w:cs="宋体"/>
          <w:kern w:val="0"/>
          <w:sz w:val="32"/>
          <w:szCs w:val="32"/>
        </w:rPr>
        <w:t>：</w:t>
      </w:r>
      <w:r>
        <w:rPr>
          <w:rFonts w:hint="eastAsia" w:ascii="仿宋_GB2312" w:hAnsi="宋体" w:eastAsia="仿宋_GB2312" w:cs="宋体"/>
          <w:color w:val="auto"/>
          <w:kern w:val="0"/>
          <w:sz w:val="32"/>
          <w:szCs w:val="32"/>
        </w:rPr>
        <w:t>2024年度</w:t>
      </w:r>
      <w:r>
        <w:rPr>
          <w:rFonts w:hint="eastAsia" w:ascii="仿宋_GB2312" w:hAnsi="宋体" w:eastAsia="仿宋_GB2312" w:cs="宋体"/>
          <w:color w:val="auto"/>
          <w:kern w:val="0"/>
          <w:sz w:val="32"/>
          <w:szCs w:val="32"/>
          <w:lang w:val="en-US" w:eastAsia="zh-CN"/>
        </w:rPr>
        <w:t>1</w:t>
      </w:r>
      <w:r>
        <w:rPr>
          <w:rFonts w:hint="eastAsia" w:ascii="仿宋_GB2312" w:hAnsi="宋体" w:eastAsia="仿宋_GB2312" w:cs="宋体"/>
          <w:color w:val="auto"/>
          <w:kern w:val="0"/>
          <w:sz w:val="32"/>
          <w:szCs w:val="32"/>
        </w:rPr>
        <w:t>人</w:t>
      </w:r>
      <w:r>
        <w:rPr>
          <w:rFonts w:hint="eastAsia" w:ascii="仿宋_GB2312" w:hAnsi="宋体" w:eastAsia="仿宋_GB2312" w:cs="宋体"/>
          <w:color w:val="auto"/>
          <w:kern w:val="0"/>
          <w:sz w:val="32"/>
          <w:szCs w:val="32"/>
          <w:lang w:eastAsia="zh-CN"/>
        </w:rPr>
        <w:t>辞职</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eastAsia="zh-CN"/>
        </w:rPr>
        <w:t>在职死亡</w:t>
      </w:r>
      <w:r>
        <w:rPr>
          <w:rFonts w:hint="eastAsia" w:ascii="仿宋_GB2312" w:hAnsi="宋体" w:eastAsia="仿宋_GB2312" w:cs="宋体"/>
          <w:color w:val="auto"/>
          <w:kern w:val="0"/>
          <w:sz w:val="32"/>
          <w:szCs w:val="32"/>
          <w:lang w:val="en-US" w:eastAsia="zh-CN"/>
        </w:rPr>
        <w:t>1人，调出1人，</w:t>
      </w:r>
      <w:r>
        <w:rPr>
          <w:rFonts w:hint="eastAsia" w:ascii="仿宋_GB2312" w:hAnsi="宋体" w:eastAsia="仿宋_GB2312" w:cs="宋体"/>
          <w:color w:val="auto"/>
          <w:kern w:val="0"/>
          <w:sz w:val="32"/>
          <w:szCs w:val="32"/>
        </w:rPr>
        <w:t>在职人员减少</w:t>
      </w:r>
      <w:r>
        <w:rPr>
          <w:rFonts w:hint="eastAsia" w:ascii="仿宋_GB2312" w:hAnsi="宋体" w:eastAsia="仿宋_GB2312" w:cs="宋体"/>
          <w:color w:val="auto"/>
          <w:kern w:val="0"/>
          <w:sz w:val="32"/>
          <w:szCs w:val="32"/>
          <w:lang w:eastAsia="zh-CN"/>
        </w:rPr>
        <w:t>。</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上级一般公共预算安排的转移支付84.19万元，占3.08%，比上年预算增加84.19万元，增长100.00%，</w:t>
      </w:r>
      <w:r>
        <w:rPr>
          <w:rFonts w:hint="eastAsia" w:ascii="仿宋_GB2312" w:hAnsi="宋体" w:eastAsia="仿宋_GB2312" w:cs="宋体"/>
          <w:kern w:val="0"/>
          <w:sz w:val="32"/>
          <w:szCs w:val="32"/>
          <w:lang w:eastAsia="zh-CN"/>
        </w:rPr>
        <w:t>主要原因是</w:t>
      </w:r>
      <w:r>
        <w:rPr>
          <w:rFonts w:hint="eastAsia" w:ascii="仿宋_GB2312" w:hAnsi="宋体" w:eastAsia="仿宋_GB2312" w:cs="宋体"/>
          <w:kern w:val="0"/>
          <w:sz w:val="32"/>
          <w:szCs w:val="32"/>
        </w:rPr>
        <w:t>：上级下拨</w:t>
      </w:r>
      <w:r>
        <w:rPr>
          <w:rFonts w:hint="eastAsia" w:ascii="仿宋_GB2312" w:hAnsi="宋体" w:eastAsia="仿宋_GB2312" w:cs="宋体"/>
          <w:kern w:val="0"/>
          <w:sz w:val="32"/>
          <w:szCs w:val="32"/>
          <w:lang w:eastAsia="zh-CN"/>
        </w:rPr>
        <w:t>学前教育</w:t>
      </w:r>
      <w:r>
        <w:rPr>
          <w:rFonts w:hint="eastAsia" w:ascii="仿宋_GB2312" w:hAnsi="宋体" w:eastAsia="仿宋_GB2312" w:cs="宋体"/>
          <w:kern w:val="0"/>
          <w:sz w:val="32"/>
          <w:szCs w:val="32"/>
        </w:rPr>
        <w:t>阶段公用经费</w:t>
      </w:r>
      <w:r>
        <w:rPr>
          <w:rFonts w:hint="eastAsia" w:ascii="仿宋_GB2312" w:hAnsi="宋体" w:eastAsia="仿宋_GB2312" w:cs="宋体"/>
          <w:kern w:val="0"/>
          <w:sz w:val="32"/>
          <w:szCs w:val="32"/>
          <w:lang w:eastAsia="zh-CN"/>
        </w:rPr>
        <w:t>。</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单位资金23.02万元，占0.84%，比上年预算减少35.96万元，下降60.97%，</w:t>
      </w:r>
      <w:r>
        <w:rPr>
          <w:rFonts w:hint="eastAsia" w:ascii="仿宋_GB2312" w:hAnsi="宋体" w:eastAsia="仿宋_GB2312" w:cs="宋体"/>
          <w:kern w:val="0"/>
          <w:sz w:val="32"/>
          <w:szCs w:val="32"/>
          <w:lang w:eastAsia="zh-CN"/>
        </w:rPr>
        <w:t>主要原因是</w:t>
      </w:r>
      <w:r>
        <w:rPr>
          <w:rFonts w:hint="eastAsia" w:ascii="仿宋_GB2312" w:hAnsi="宋体" w:eastAsia="仿宋_GB2312" w:cs="宋体"/>
          <w:kern w:val="0"/>
          <w:sz w:val="32"/>
          <w:szCs w:val="32"/>
        </w:rPr>
        <w:t>：本年度第四季度绩效工资按时发放</w:t>
      </w:r>
      <w:r>
        <w:rPr>
          <w:rFonts w:hint="eastAsia" w:ascii="仿宋_GB2312" w:hAnsi="宋体" w:eastAsia="仿宋_GB2312" w:cs="宋体"/>
          <w:kern w:val="0"/>
          <w:sz w:val="32"/>
          <w:szCs w:val="32"/>
          <w:lang w:eastAsia="zh-CN"/>
        </w:rPr>
        <w:t>。</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财政拨款结转0.00万元，占0.00%，比上年预算减少78.49万元，下降100.00%，</w:t>
      </w:r>
      <w:r>
        <w:rPr>
          <w:rFonts w:hint="eastAsia" w:ascii="仿宋_GB2312" w:hAnsi="宋体" w:eastAsia="仿宋_GB2312" w:cs="宋体"/>
          <w:kern w:val="0"/>
          <w:sz w:val="32"/>
          <w:szCs w:val="32"/>
          <w:lang w:eastAsia="zh-CN"/>
        </w:rPr>
        <w:t>主要原因是</w:t>
      </w:r>
      <w:r>
        <w:rPr>
          <w:rFonts w:hint="eastAsia" w:ascii="仿宋_GB2312" w:hAnsi="宋体" w:eastAsia="仿宋_GB2312" w:cs="宋体"/>
          <w:kern w:val="0"/>
          <w:sz w:val="32"/>
          <w:szCs w:val="32"/>
        </w:rPr>
        <w:t>：没有结转资金</w:t>
      </w:r>
      <w:r>
        <w:rPr>
          <w:rFonts w:hint="eastAsia" w:ascii="仿宋_GB2312" w:hAnsi="宋体" w:eastAsia="仿宋_GB2312" w:cs="宋体"/>
          <w:kern w:val="0"/>
          <w:sz w:val="32"/>
          <w:szCs w:val="32"/>
          <w:lang w:eastAsia="zh-CN"/>
        </w:rPr>
        <w:t>。</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三、关于墨玉县英也尔乡中心小学单位2025年支出预算情况说明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墨玉县英也尔乡中心小学单位2025年支出预算2737.01万元，其中：</w:t>
      </w:r>
    </w:p>
    <w:p>
      <w:pPr>
        <w:widowControl w:val="0"/>
        <w:spacing w:line="560" w:lineRule="exact"/>
        <w:ind w:firstLine="640" w:firstLineChars="200"/>
        <w:jc w:val="both"/>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基本支出2629.80万元，占96.08%，比上年预算减少114.03万元，下降4.16%，</w:t>
      </w:r>
      <w:r>
        <w:rPr>
          <w:rFonts w:hint="eastAsia" w:ascii="仿宋_GB2312" w:hAnsi="宋体" w:eastAsia="仿宋_GB2312" w:cs="宋体"/>
          <w:kern w:val="0"/>
          <w:sz w:val="32"/>
          <w:szCs w:val="32"/>
          <w:lang w:eastAsia="zh-CN"/>
        </w:rPr>
        <w:t>主要原因是</w:t>
      </w:r>
      <w:r>
        <w:rPr>
          <w:rFonts w:hint="eastAsia" w:ascii="仿宋_GB2312" w:hAnsi="宋体" w:eastAsia="仿宋_GB2312" w:cs="宋体"/>
          <w:kern w:val="0"/>
          <w:sz w:val="32"/>
          <w:szCs w:val="32"/>
        </w:rPr>
        <w:t>：本年度进行了岗位工资和薪级工资调整，五险一金调整，调整岗位人数较多。</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项目支出107.21万元，占3.92%，比上年预算减少30.26万元，下降22.01%，主要原因是：结转资金减少。</w:t>
      </w:r>
    </w:p>
    <w:p>
      <w:pPr>
        <w:widowControl w:val="0"/>
        <w:spacing w:line="560" w:lineRule="exact"/>
        <w:ind w:firstLine="643" w:firstLineChars="200"/>
        <w:jc w:val="both"/>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四、关于墨玉县英也尔乡中心小学单位2025年财政拨款收支预算情况的总体说明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2025年财政拨款收支总预算2713.99万元。</w:t>
      </w:r>
    </w:p>
    <w:p>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收入预算包括：一般公共预算拨款2713.99万元。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一般公共预算支出包括：教育支出2713.99万元，主要用于保障单位正常运行的人员经费、公用经费支出。</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五、关于墨玉县英也尔乡中心小学单位2025年一般公共预算当年拨款情况说明</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墨玉县英也尔乡中心小学单位2025年一般公共预算拨款合计2713.99万元，其中：</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基本支出2629.80万元，比上年预算减少114.03万元，下降4.16%。主要原因是：本年度进行了岗位工资和薪级工资调整，五险一金调整，调整岗位人数减少，调出1人，辞职2人。</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项目支出84.19万元，比上年预算增加84.19万元，增长100.00%。主要原因是：上级下拨</w:t>
      </w:r>
      <w:r>
        <w:rPr>
          <w:rFonts w:hint="eastAsia" w:ascii="仿宋_GB2312" w:eastAsia="仿宋_GB2312"/>
          <w:sz w:val="32"/>
          <w:szCs w:val="32"/>
          <w:lang w:eastAsia="zh-CN"/>
        </w:rPr>
        <w:t>学前教育</w:t>
      </w:r>
      <w:r>
        <w:rPr>
          <w:rFonts w:hint="eastAsia" w:ascii="仿宋_GB2312" w:eastAsia="仿宋_GB2312"/>
          <w:sz w:val="32"/>
          <w:szCs w:val="32"/>
        </w:rPr>
        <w:t>阶段公用经费。</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1.教育支出（类）2713.99万元，占100.0%。</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2025年预算数为2713.99万元，比上年预算减少29.84万元，下降1.09%，主要原因是：本年度进行了岗位工资和薪级工资调整，五险一金调整，调整岗位人数减少。上级下拨义务教育阶段公用经费；调出1人，辞职2人。</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六、关于墨玉县英也尔乡中心小学单位2025年一般公共预算基本支出情况说明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墨玉县英也尔乡中心小学单位2025年一般公共预算基本支出2629.80万元，其中：</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人员经费2629.80万元，主要包括：基本工资、津贴补贴、奖金、绩效工资、机关事业单位基本养老保险缴费、职工基本医疗保险缴费、其他社会保障缴费、住房公积金、退休费。</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公用经费0.00万元。</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七、关于墨玉县英也尔乡中心小学单位2025年一般公共预算项目支出情况说明</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（一）项目名称：义务教育小学阶段公用经费（第二批中央直达资金）（墨财教</w:t>
      </w:r>
      <w:r>
        <w:rPr>
          <w:rFonts w:hint="eastAsia" w:ascii="仿宋_GB2312" w:hAnsi="黑体" w:eastAsia="仿宋_GB2312"/>
          <w:sz w:val="32"/>
          <w:szCs w:val="32"/>
          <w:lang w:eastAsia="zh-CN"/>
        </w:rPr>
        <w:t>〔2023〕33号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预算安排规模：41.28万元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项目承担单位：墨玉县英也尔乡中心小学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（二）项目名称：义务教育小学阶段公用经费（中央直达资金）（和地财教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〔2024〕12号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预算安排规模：9.17万元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项目承担单位：墨玉县英也尔乡中心小学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（三）项目名称：2023年义务教育小学阶段公用经费自治区第二批直达资金（和地财教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预算安排规模：8.63万元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项目承担单位：墨玉县英也尔乡中心小学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（四）项目名称：2023年义务教育特教阶段公用经费自治区第二批直达资金（和地财教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预算安排规模：0.56万元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项目承担单位：墨玉县英也尔乡中心小学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（五）项目名称：2024年义务教育特教阶段公用经费（第二批中央直达资金）（和地财教</w:t>
      </w:r>
      <w:r>
        <w:rPr>
          <w:rFonts w:hint="eastAsia" w:ascii="仿宋_GB2312" w:hAnsi="黑体" w:eastAsia="仿宋_GB2312"/>
          <w:sz w:val="32"/>
          <w:szCs w:val="32"/>
          <w:lang w:eastAsia="zh-CN"/>
        </w:rPr>
        <w:t>〔2024〕18号</w:t>
      </w:r>
      <w:r>
        <w:rPr>
          <w:rFonts w:ascii="仿宋_GB2312" w:hAnsi="黑体" w:eastAsia="仿宋_GB2312"/>
          <w:sz w:val="32"/>
          <w:szCs w:val="32"/>
        </w:rPr>
        <w:t>、墨财教</w:t>
      </w:r>
      <w:r>
        <w:rPr>
          <w:rFonts w:hint="eastAsia" w:ascii="仿宋_GB2312" w:hAnsi="黑体" w:eastAsia="仿宋_GB2312"/>
          <w:sz w:val="32"/>
          <w:szCs w:val="32"/>
          <w:lang w:eastAsia="zh-CN"/>
        </w:rPr>
        <w:t>〔2024〕48号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预算安排规模：0.03万元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项目承担单位：墨玉县英也尔乡中心小学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（六）项目名称：2024年乡村教师生活补助资金（9-12月）（和地财教</w:t>
      </w:r>
      <w:r>
        <w:rPr>
          <w:rFonts w:hint="eastAsia" w:ascii="仿宋_GB2312" w:hAnsi="黑体" w:eastAsia="仿宋_GB2312"/>
          <w:sz w:val="32"/>
          <w:szCs w:val="32"/>
          <w:lang w:eastAsia="zh-CN"/>
        </w:rPr>
        <w:t>〔2023〕77号</w:t>
      </w:r>
      <w:r>
        <w:rPr>
          <w:rFonts w:ascii="仿宋_GB2312" w:hAnsi="黑体" w:eastAsia="仿宋_GB2312"/>
          <w:sz w:val="32"/>
          <w:szCs w:val="32"/>
        </w:rPr>
        <w:t>、墨财教</w:t>
      </w:r>
      <w:r>
        <w:rPr>
          <w:rFonts w:hint="eastAsia" w:ascii="仿宋_GB2312" w:hAnsi="黑体" w:eastAsia="仿宋_GB2312"/>
          <w:sz w:val="32"/>
          <w:szCs w:val="32"/>
          <w:lang w:eastAsia="zh-CN"/>
        </w:rPr>
        <w:t>〔2024〕39号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预算安排规模：8.73万元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项目承担单位：墨玉县英也尔乡中心小学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（七）项目名称：2024年乡村教师生活补助资金(第二批）（和地财教</w:t>
      </w:r>
      <w:r>
        <w:rPr>
          <w:rFonts w:hint="eastAsia" w:ascii="仿宋_GB2312" w:hAnsi="黑体" w:eastAsia="仿宋_GB2312"/>
          <w:sz w:val="32"/>
          <w:szCs w:val="32"/>
          <w:lang w:eastAsia="zh-CN"/>
        </w:rPr>
        <w:t>〔2024〕30号</w:t>
      </w:r>
      <w:r>
        <w:rPr>
          <w:rFonts w:ascii="仿宋_GB2312" w:hAnsi="黑体" w:eastAsia="仿宋_GB2312"/>
          <w:sz w:val="32"/>
          <w:szCs w:val="32"/>
        </w:rPr>
        <w:t>、墨财教</w:t>
      </w:r>
      <w:r>
        <w:rPr>
          <w:rFonts w:hint="eastAsia" w:ascii="仿宋_GB2312" w:hAnsi="黑体" w:eastAsia="仿宋_GB2312"/>
          <w:sz w:val="32"/>
          <w:szCs w:val="32"/>
          <w:lang w:eastAsia="zh-CN"/>
        </w:rPr>
        <w:t>〔2024〕61号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预算安排规模：15.79万元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项目承担单位：墨玉县英也尔乡中心小学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八、关于墨玉县英也尔乡中心小学单位2025年政府性基金预算拨款情况说明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墨玉县英也尔乡中心小学单位2025年没有使用政府性基金预算拨款安排的支出，政府性基金预算支出情况表为空表。</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九、关于墨玉县英也尔乡中心小学单位2025年国有资本经营预算拨款情况说明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墨玉县英也尔乡中心小学单位2025年没有使用国有资本经营预算拨款安排的支出，国有资本经营预算支出情况表为空表。</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十、关于墨玉县英也尔乡中心小学单位2025年财政拨款“三公”经费预算情况说明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墨玉县英也尔乡中心小学单位2025年财政拨款“三公”经费数为0.00万元，其中：因公出国（境）费0.00万元，公务用车购置费0.00万元，公务用车运行费0.00万元，公务接待费0.00万元。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三公”经费比上年预算减少0.00万元，下降0.00%，其中：因公出国（境）费减少0.00万元，下降0.00%，主要原因是我单位本年无因公出国（境）费预算安排；公务用车购置费减少0.00万元，下降0.00%，主要原因是我单位本年无公务用车购置费预算安排；公务用车运行费减少0.00万元，下降0.00%，主要原因是我单位本年无公务用车，所以本年无公务用车运行安排；公务接待费减少0.00万元，下降0.00%，主要原因是我单位本年无公务用车，所以本年无公务用车运行安排。</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十一、关于墨玉县英也尔乡中心小学单位2025年上年结转结余预算情况说明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墨玉县英也尔乡中心小学单位2025年没有上年结转结余预算的支出，上年结转结余情况明细表为空表。</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中心小学单位2025年的事业单位运行经费财政拨款预算0.00万元，比上年预算减少0.00万元，下降0.00%。主要原因是我单位2025年的事业单位运行经费财政拨款预算0.00万元，比上年预算减少0.00万元，下降0.00%主要原因是：我单位没有事业单位运行预算经费。</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2025年，墨玉县英也尔乡中心小学单位政府采购预算0万元，其中：政府采购货物预算0万元，政府采购工程预算0万元，政府采购服务预算0万元。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仿宋_GB2312" w:eastAsia="仿宋_GB2312"/>
          <w:sz w:val="32"/>
        </w:rPr>
        <w:t>2025年，墨玉县英也尔乡中心小学单位面向中小企业预留政府采购项目预算金额0万元，小微企业预留政府采购项目预算金额0万元。</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截至2024年底，墨玉县英也尔乡中心小学单位及下属各预算单位占用使用国有资产总体情况为：</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3.办公家具价值95.6万元。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4.其他资产价值926万元。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单位价值50万元以上大型设备0台（套），单位价值100万元以上大型设备0台（套）。</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2025年单位预算未安排购置车辆经费，安排购置50万元以上大型设备0台（套），单位价值100万元以上大型设备0台（套）。</w:t>
      </w:r>
    </w:p>
    <w:p>
      <w:pPr>
        <w:widowControl/>
        <w:jc w:val="left"/>
        <w:outlineLvl w:val="1"/>
        <w:rPr>
          <w:rFonts w:ascii="微软雅黑" w:hAnsi="微软雅黑" w:eastAsia="微软雅黑" w:cs="Times New Roman"/>
          <w:b/>
          <w:spacing w:val="40"/>
          <w:sz w:val="28"/>
          <w:szCs w:val="28"/>
        </w:rPr>
        <w:sectPr>
          <w:footerReference r:id="rId8" w:type="default"/>
          <w:pgSz w:w="11906" w:h="16838"/>
          <w:pgMar w:top="1440" w:right="1800" w:bottom="1440" w:left="1800" w:header="851" w:footer="992" w:gutter="0"/>
          <w:cols w:space="425" w:num="1"/>
          <w:docGrid w:type="lines" w:linePitch="312" w:charSpace="0"/>
        </w:sectPr>
      </w:pP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2025年，本部门预算绩效管理整体预算绩效目标1个，涉及预算金额2629.82万元；当年预算安排项目共0个，其中：财政拨款项目涉及预算金额0万元；非财政拨款项目涉及预算金额0万元。具体情况见下表（按项目分别填报）：</w:t>
      </w: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bookmarkStart w:id="0" w:name="_GoBack"/>
      <w:bookmarkEnd w:id="0"/>
    </w:p>
    <w:tbl>
      <w:tblPr>
        <w:tblStyle w:val="3"/>
        <w:tblW w:w="91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094"/>
        <w:gridCol w:w="1528"/>
        <w:gridCol w:w="1773"/>
        <w:gridCol w:w="1339"/>
        <w:gridCol w:w="1415"/>
        <w:gridCol w:w="9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55" w:hRule="atLeast"/>
        </w:trPr>
        <w:tc>
          <w:tcPr>
            <w:tcW w:w="9140" w:type="dxa"/>
            <w:gridSpan w:val="6"/>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部门（单位）整体绩效目标申报表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18" w:hRule="atLeast"/>
        </w:trPr>
        <w:tc>
          <w:tcPr>
            <w:tcW w:w="9140" w:type="dxa"/>
            <w:gridSpan w:val="6"/>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2" w:hRule="atLeast"/>
        </w:trPr>
        <w:tc>
          <w:tcPr>
            <w:tcW w:w="209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部门（单位）名称（盖章）</w:t>
            </w:r>
          </w:p>
        </w:tc>
        <w:tc>
          <w:tcPr>
            <w:tcW w:w="704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墨玉县英也尔乡中心小学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22" w:hRule="atLeast"/>
        </w:trPr>
        <w:tc>
          <w:tcPr>
            <w:tcW w:w="209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部门（单位）联系人</w:t>
            </w:r>
          </w:p>
        </w:tc>
        <w:tc>
          <w:tcPr>
            <w:tcW w:w="330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热孜宛古丽</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联系电话：</w:t>
            </w:r>
          </w:p>
        </w:tc>
        <w:tc>
          <w:tcPr>
            <w:tcW w:w="24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13239802111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39" w:hRule="atLeast"/>
        </w:trPr>
        <w:tc>
          <w:tcPr>
            <w:tcW w:w="209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年度绩效目标</w:t>
            </w:r>
          </w:p>
        </w:tc>
        <w:tc>
          <w:tcPr>
            <w:tcW w:w="7046"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学校主要从事小学教育。全面贯彻党的教育方针，全面践行社会主义核心价值观，坚持立足基础、正规办学，立德树人，创新发展，提升办学质量，培养德智体美劳全面发展的社会主义建设者和接班人。</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建设一支既有专业知识，又能教书育人的高质量教师队伍，完成校园绿化建设、坚持党的教育方针，坚持</w:t>
            </w:r>
            <w:r>
              <w:rPr>
                <w:rFonts w:hint="eastAsia" w:ascii="宋体" w:hAnsi="宋体" w:cs="宋体"/>
                <w:i w:val="0"/>
                <w:color w:val="000000"/>
                <w:kern w:val="0"/>
                <w:sz w:val="24"/>
                <w:szCs w:val="24"/>
                <w:u w:val="none"/>
                <w:lang w:val="en-US" w:eastAsia="zh-CN" w:bidi="ar"/>
              </w:rPr>
              <w:t>立德树人根本任务</w:t>
            </w:r>
            <w:r>
              <w:rPr>
                <w:rFonts w:hint="eastAsia" w:ascii="宋体" w:hAnsi="宋体" w:eastAsia="宋体" w:cs="宋体"/>
                <w:i w:val="0"/>
                <w:color w:val="000000"/>
                <w:kern w:val="0"/>
                <w:sz w:val="24"/>
                <w:szCs w:val="24"/>
                <w:u w:val="none"/>
                <w:lang w:val="en-US" w:eastAsia="zh-CN" w:bidi="ar"/>
              </w:rPr>
              <w:t>，教育大会精神，全面落实教育局决策部署，提升教育治理能力，回应社会关切，加快推 进教育现代化，紧紧围绕“教育方针”目标，谋划学校发展，统筹资金保障，加快学前教育普惠发展、均衡发展、优质发展：持续实施新优质中小学培育计划，促进教育教学质量提升：优化结构、合理布局，强力推进中小学阶段教育普及；加快推进义务教育产教融合深度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2" w:hRule="atLeast"/>
        </w:trPr>
        <w:tc>
          <w:tcPr>
            <w:tcW w:w="209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年度预算（万元）</w:t>
            </w:r>
          </w:p>
        </w:tc>
        <w:tc>
          <w:tcPr>
            <w:tcW w:w="330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资金来源</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2" w:hRule="atLeast"/>
        </w:trPr>
        <w:tc>
          <w:tcPr>
            <w:tcW w:w="209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2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财政资金（万元）</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上级资金</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1965.64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2" w:hRule="atLeast"/>
        </w:trPr>
        <w:tc>
          <w:tcPr>
            <w:tcW w:w="209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本级资金</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648.63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2" w:hRule="atLeast"/>
        </w:trPr>
        <w:tc>
          <w:tcPr>
            <w:tcW w:w="209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其他资金（万元）</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2" w:hRule="atLeast"/>
        </w:trPr>
        <w:tc>
          <w:tcPr>
            <w:tcW w:w="209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一级指标</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指标值</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指标设定依据</w:t>
            </w:r>
          </w:p>
        </w:tc>
        <w:tc>
          <w:tcPr>
            <w:tcW w:w="9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48" w:hRule="atLeast"/>
        </w:trPr>
        <w:tc>
          <w:tcPr>
            <w:tcW w:w="20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履职效能</w:t>
            </w:r>
          </w:p>
        </w:tc>
        <w:tc>
          <w:tcPr>
            <w:tcW w:w="15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7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教师教研活动次数</w:t>
            </w:r>
          </w:p>
        </w:tc>
        <w:tc>
          <w:tcPr>
            <w:tcW w:w="13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&gt;=20次</w:t>
            </w: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2024-2025学年工作计划</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8" w:hRule="atLeast"/>
        </w:trPr>
        <w:tc>
          <w:tcPr>
            <w:tcW w:w="20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7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教师听评课次数</w:t>
            </w:r>
          </w:p>
        </w:tc>
        <w:tc>
          <w:tcPr>
            <w:tcW w:w="13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&gt;=40节</w:t>
            </w: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2024-2025学年工作计划</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48" w:hRule="atLeast"/>
        </w:trPr>
        <w:tc>
          <w:tcPr>
            <w:tcW w:w="20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7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教师党员学习次数</w:t>
            </w:r>
          </w:p>
        </w:tc>
        <w:tc>
          <w:tcPr>
            <w:tcW w:w="13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&gt;=20次</w:t>
            </w: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2024-2025学年工作计划</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58" w:hRule="atLeast"/>
        </w:trPr>
        <w:tc>
          <w:tcPr>
            <w:tcW w:w="20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w:t>
            </w:r>
          </w:p>
        </w:tc>
        <w:tc>
          <w:tcPr>
            <w:tcW w:w="15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17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学生家长满意</w:t>
            </w:r>
          </w:p>
        </w:tc>
        <w:tc>
          <w:tcPr>
            <w:tcW w:w="13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&gt;=95%</w:t>
            </w: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2024-2025学年工作计划</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r>
    </w:tbl>
    <w:p>
      <w:pPr>
        <w:widowControl w:val="0"/>
        <w:spacing w:line="560" w:lineRule="exact"/>
        <w:ind w:firstLine="640" w:firstLineChars="200"/>
        <w:jc w:val="both"/>
        <w:rPr>
          <w:rFonts w:hint="eastAsia"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p>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pPr>
        <w:widowControl/>
        <w:spacing w:line="520" w:lineRule="exact"/>
        <w:jc w:val="left"/>
        <w:rPr>
          <w:rFonts w:ascii="仿宋_GB2312" w:hAnsi="宋体" w:eastAsia="仿宋_GB2312" w:cs="宋体"/>
          <w:kern w:val="0"/>
          <w:sz w:val="32"/>
          <w:szCs w:val="32"/>
        </w:rPr>
      </w:pPr>
    </w:p>
    <w:p>
      <w:pPr>
        <w:widowControl/>
        <w:jc w:val="left"/>
        <w:outlineLvl w:val="1"/>
        <w:rPr>
          <w:rFonts w:ascii="微软雅黑" w:hAnsi="微软雅黑" w:eastAsia="微软雅黑" w:cs="Times New Roman"/>
          <w:b/>
          <w:spacing w:val="40"/>
          <w:sz w:val="28"/>
          <w:szCs w:val="28"/>
        </w:rPr>
        <w:sectPr>
          <w:footerReference r:id="rId9" w:type="default"/>
          <w:pgSz w:w="11906" w:h="16838"/>
          <w:pgMar w:top="1440" w:right="1800" w:bottom="1440" w:left="1800" w:header="851" w:footer="992" w:gutter="0"/>
          <w:cols w:space="425" w:num="1"/>
          <w:docGrid w:type="lines" w:linePitch="312" w:charSpace="0"/>
        </w:sectPr>
      </w:pPr>
    </w:p>
    <w:p>
      <w:pPr>
        <w:widowControl/>
        <w:spacing w:before="217" w:beforeLines="50" w:line="52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墨玉县英也尔乡中心小学</w:t>
      </w:r>
    </w:p>
    <w:p>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2025年0</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04</w:t>
      </w:r>
      <w:r>
        <w:rPr>
          <w:rFonts w:ascii="仿宋_GB2312" w:hAnsi="宋体" w:eastAsia="仿宋_GB2312" w:cs="宋体"/>
          <w:kern w:val="0"/>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C7F8B"/>
    <w:rsid w:val="0FF331A6"/>
    <w:rsid w:val="2B766535"/>
    <w:rsid w:val="2CD852EC"/>
    <w:rsid w:val="3DDC7F8B"/>
    <w:rsid w:val="6526159C"/>
    <w:rsid w:val="73140ED0"/>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2708</Words>
  <Characters>3181</Characters>
  <Lines>0</Lines>
  <Paragraphs>0</Paragraphs>
  <TotalTime>49</TotalTime>
  <ScaleCrop>false</ScaleCrop>
  <LinksUpToDate>false</LinksUpToDate>
  <CharactersWithSpaces>3326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Lenovo</cp:lastModifiedBy>
  <dcterms:modified xsi:type="dcterms:W3CDTF">2025-06-11T10:30:50Z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KSOTemplateDocerSaveRecord">
    <vt:lpwstr>eyJoZGlkIjoiNjUzOTU3Mzk5YzI3YWZhODkwY2QxOTYwNjg2NWQ1NWYiLCJ1c2VySWQiOiIzOTY0MzM4NzUifQ==</vt:lpwstr>
  </property>
  <property fmtid="{D5CDD505-2E9C-101B-9397-08002B2CF9AE}" pid="4" name="ICV">
    <vt:lpwstr>243D8E0C006442B5A1839AAA24A74E76_12</vt:lpwstr>
  </property>
</Properties>
</file>