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墨玉县英也尔乡人民政府</w:t>
      </w:r>
    </w:p>
    <w:p>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2025年单位预算公开</w:t>
      </w: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line="500" w:lineRule="exact"/>
        <w:jc w:val="center"/>
        <w:outlineLvl w:val="1"/>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widowControl/>
        <w:spacing w:line="600" w:lineRule="exact"/>
        <w:ind w:firstLine="883" w:firstLineChars="200"/>
        <w:jc w:val="both"/>
        <w:outlineLvl w:val="1"/>
        <w:rPr>
          <w:rFonts w:ascii="宋体" w:hAnsi="宋体"/>
          <w:b/>
          <w:kern w:val="0"/>
          <w:sz w:val="44"/>
          <w:szCs w:val="44"/>
        </w:rPr>
      </w:pPr>
    </w:p>
    <w:p>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2025年单位概况</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2025年单位预算公开表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2025年单位预算情况说明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一、关于墨玉县英也尔乡人民政府单位2025年收支预算情况的总体说明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二、关于墨玉县英也尔乡人民政府单位2025年收入预算情况说明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三、关于墨玉县英也尔乡人民政府单位2025年支出预算情况说明</w:t>
      </w:r>
    </w:p>
    <w:p>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四、关于墨玉县英也尔乡人民政府单位2025年财政拨款收支预算情况的总体说明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五、关于墨玉县英也尔乡人民政府单位2025年</w:t>
      </w:r>
      <w:r>
        <w:rPr>
          <w:rFonts w:hint="eastAsia" w:ascii="仿宋_GB2312" w:hAnsi="宋体" w:eastAsia="仿宋_GB2312"/>
          <w:kern w:val="0"/>
          <w:sz w:val="32"/>
          <w:szCs w:val="32"/>
          <w:lang w:eastAsia="zh-CN"/>
        </w:rPr>
        <w:t>一般公共预算财政拨款</w:t>
      </w:r>
      <w:r>
        <w:rPr>
          <w:rFonts w:hint="eastAsia" w:ascii="仿宋_GB2312" w:hAnsi="宋体" w:eastAsia="仿宋_GB2312"/>
          <w:kern w:val="0"/>
          <w:sz w:val="32"/>
          <w:szCs w:val="32"/>
        </w:rPr>
        <w:t>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六、关于墨玉县英也尔乡人民政府单位2025年一般公共预算基本支出情况说明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七、关于墨玉县英也尔乡人民政府单位2025年一般公共预算项目支出情况说明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八、关于墨玉县英也尔乡人民政府单位2025年政府性基金预算拨款情况说明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九、关于墨玉县英也尔乡人民政府单位2025年国有资本经营预算拨款情况说明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十、关于墨玉县英也尔乡人民政府单位2025年财政拨款“三公”经费预算情况说明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十一、关于墨玉县英也尔乡人民政府单位2025年上年结转结余预算情况说明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pPr>
        <w:widowControl/>
        <w:jc w:val="center"/>
        <w:outlineLvl w:val="1"/>
        <w:rPr>
          <w:rFonts w:ascii="黑体" w:hAnsi="黑体" w:eastAsia="黑体"/>
          <w:kern w:val="0"/>
          <w:sz w:val="32"/>
          <w:szCs w:val="32"/>
        </w:rPr>
      </w:pPr>
      <w:r>
        <w:rPr>
          <w:rFonts w:ascii="微软雅黑" w:hAnsi="Calibri" w:eastAsia="微软雅黑" w:cs="Times New Roman"/>
          <w:b/>
          <w:bCs/>
          <w:kern w:val="44"/>
          <w:sz w:val="28"/>
          <w:szCs w:val="28"/>
        </w:rPr>
        <w:br w:type="page"/>
      </w:r>
      <w:r>
        <w:rPr>
          <w:rFonts w:hint="eastAsia" w:ascii="黑体" w:hAnsi="黑体" w:eastAsia="黑体"/>
          <w:kern w:val="0"/>
          <w:sz w:val="32"/>
          <w:szCs w:val="32"/>
        </w:rPr>
        <w:t>第一部分 2025年单位概况</w:t>
      </w:r>
    </w:p>
    <w:p>
      <w:pPr>
        <w:widowControl/>
        <w:jc w:val="center"/>
        <w:outlineLvl w:val="1"/>
        <w:rPr>
          <w:rFonts w:ascii="宋体" w:hAnsi="宋体"/>
          <w:b/>
          <w:kern w:val="0"/>
          <w:sz w:val="32"/>
          <w:szCs w:val="32"/>
        </w:rPr>
      </w:pPr>
    </w:p>
    <w:p>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pPr>
        <w:widowControl/>
        <w:spacing w:line="540" w:lineRule="exact"/>
        <w:jc w:val="left"/>
        <w:rPr>
          <w:rFonts w:ascii="仿宋_GB2312" w:hAnsi="宋体" w:eastAsia="仿宋_GB2312" w:cs="宋体"/>
          <w:bCs/>
          <w:kern w:val="0"/>
          <w:sz w:val="32"/>
          <w:szCs w:val="32"/>
        </w:rPr>
      </w:pPr>
      <w:r>
        <w:rPr>
          <w:rFonts w:hint="eastAsia" w:ascii="黑体" w:hAnsi="黑体" w:eastAsia="黑体" w:cs="宋体"/>
          <w:bCs/>
          <w:kern w:val="0"/>
          <w:sz w:val="32"/>
          <w:szCs w:val="32"/>
        </w:rPr>
        <w:t xml:space="preserve">　  </w:t>
      </w:r>
      <w:r>
        <w:rPr>
          <w:rFonts w:hint="eastAsia" w:ascii="仿宋_GB2312" w:hAnsi="宋体" w:eastAsia="仿宋_GB2312"/>
          <w:kern w:val="0"/>
          <w:sz w:val="32"/>
          <w:szCs w:val="32"/>
        </w:rPr>
        <w:t>英也尔乡</w:t>
      </w:r>
      <w:r>
        <w:rPr>
          <w:rFonts w:hint="eastAsia" w:ascii="仿宋_GB2312" w:hAnsi="黑体" w:eastAsia="仿宋_GB2312" w:cs="宋体"/>
          <w:bCs/>
          <w:kern w:val="0"/>
          <w:sz w:val="32"/>
          <w:szCs w:val="32"/>
        </w:rPr>
        <w:t>人民政府职能包括执行本级人民代表大会的决议和上级国家行政机关的决定和命令，发布决定和命令。执行本行政区域内的经济和社会发展计划，加强公共设施的建设和管理，发展各项服务事业。依法管理本级财政、执行本级预算。为农民提供有效的科技、教育、文化、信息、卫生、体育、医疗、人才开发、劳动就业、安全生产等方面的服务。保护国有资产和集体所有的财产，保护公民私人所有的合法财产、保障公民的人身权利、民主权利和其他权利，保护各种组织的合法权益。开展社会主义民主与法制教育，加强社会治安综合治理，调解民事纠纷，维护社会秩序。推行计划生育，控制人口增长，保护妇女、儿童和老人的合法权益。负责民政工作，发展社会福利事业，做好社会保障工作，办理兵役事项。承办上级人民政府交办的其他事项。</w:t>
      </w:r>
    </w:p>
    <w:p>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墨玉县英也尔乡人民政府单位无下属预算单位，下设1</w:t>
      </w:r>
      <w:r>
        <w:rPr>
          <w:rFonts w:hint="eastAsia" w:ascii="仿宋_GB2312" w:hAnsi="黑体" w:eastAsia="仿宋_GB2312" w:cs="宋体"/>
          <w:bCs/>
          <w:kern w:val="0"/>
          <w:sz w:val="32"/>
          <w:szCs w:val="32"/>
          <w:lang w:val="en-US" w:eastAsia="zh-CN"/>
        </w:rPr>
        <w:t>1</w:t>
      </w:r>
      <w:r>
        <w:rPr>
          <w:rFonts w:hint="eastAsia" w:ascii="仿宋_GB2312" w:hAnsi="黑体" w:eastAsia="仿宋_GB2312" w:cs="宋体"/>
          <w:bCs/>
          <w:kern w:val="0"/>
          <w:sz w:val="32"/>
          <w:szCs w:val="32"/>
        </w:rPr>
        <w:t>个处室，分别是</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党建办、党政综合办公室、党建工作办公室、经济发展和财政办公室、社会事务办公室（退役军人服务站）、综合执法办公室、农业发展中心、公共文化服务中心、村镇建设发展中心、综治和网化服务中心、便民服务中心</w:t>
      </w:r>
      <w:r>
        <w:rPr>
          <w:rFonts w:hint="eastAsia" w:ascii="仿宋_GB2312" w:hAnsi="宋体" w:eastAsia="仿宋_GB2312" w:cs="宋体"/>
          <w:kern w:val="0"/>
          <w:sz w:val="32"/>
          <w:szCs w:val="32"/>
        </w:rPr>
        <w:t>。</w:t>
      </w:r>
    </w:p>
    <w:p>
      <w:pPr>
        <w:widowControl/>
        <w:spacing w:line="560" w:lineRule="exact"/>
        <w:ind w:firstLine="640"/>
        <w:jc w:val="left"/>
        <w:rPr>
          <w:rFonts w:ascii="仿宋_GB2312" w:hAnsi="宋体" w:eastAsia="仿宋_GB2312" w:cs="宋体"/>
          <w:kern w:val="0"/>
          <w:sz w:val="32"/>
          <w:szCs w:val="32"/>
        </w:rPr>
      </w:pPr>
    </w:p>
    <w:p>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墨玉县英也尔乡人民政府单位编制数</w:t>
      </w:r>
      <w:r>
        <w:rPr>
          <w:rFonts w:hint="eastAsia" w:ascii="仿宋_GB2312" w:hAnsi="宋体" w:eastAsia="仿宋_GB2312" w:cs="宋体"/>
          <w:kern w:val="0"/>
          <w:sz w:val="32"/>
          <w:szCs w:val="32"/>
          <w:lang w:val="en-US" w:eastAsia="zh-CN"/>
        </w:rPr>
        <w:t>95</w:t>
      </w:r>
      <w:r>
        <w:rPr>
          <w:rFonts w:hint="eastAsia" w:ascii="仿宋_GB2312" w:hAnsi="宋体" w:eastAsia="仿宋_GB2312" w:cs="宋体"/>
          <w:kern w:val="0"/>
          <w:sz w:val="32"/>
          <w:szCs w:val="32"/>
        </w:rPr>
        <w:t>，实有人数</w:t>
      </w:r>
      <w:r>
        <w:rPr>
          <w:rFonts w:hint="eastAsia" w:ascii="仿宋_GB2312" w:hAnsi="宋体" w:eastAsia="仿宋_GB2312" w:cs="宋体"/>
          <w:kern w:val="0"/>
          <w:sz w:val="32"/>
          <w:szCs w:val="32"/>
          <w:lang w:val="en-US" w:eastAsia="zh-CN"/>
        </w:rPr>
        <w:t>131</w:t>
      </w:r>
      <w:r>
        <w:rPr>
          <w:rFonts w:hint="eastAsia" w:ascii="仿宋_GB2312" w:hAnsi="宋体" w:eastAsia="仿宋_GB2312" w:cs="宋体"/>
          <w:kern w:val="0"/>
          <w:sz w:val="32"/>
          <w:szCs w:val="32"/>
        </w:rPr>
        <w:t>人，其中：在职</w:t>
      </w:r>
      <w:r>
        <w:rPr>
          <w:rFonts w:hint="eastAsia" w:ascii="仿宋_GB2312" w:hAnsi="宋体" w:eastAsia="仿宋_GB2312" w:cs="宋体"/>
          <w:kern w:val="0"/>
          <w:sz w:val="32"/>
          <w:szCs w:val="32"/>
          <w:lang w:val="en-US" w:eastAsia="zh-CN"/>
        </w:rPr>
        <w:t>131</w:t>
      </w:r>
      <w:r>
        <w:rPr>
          <w:rFonts w:hint="eastAsia" w:ascii="仿宋_GB2312" w:hAnsi="宋体" w:eastAsia="仿宋_GB2312" w:cs="宋体"/>
          <w:kern w:val="0"/>
          <w:sz w:val="32"/>
          <w:szCs w:val="32"/>
        </w:rPr>
        <w:t>人，增加0人；退休</w:t>
      </w:r>
      <w:r>
        <w:rPr>
          <w:rFonts w:hint="eastAsia" w:ascii="仿宋_GB2312" w:hAnsi="宋体" w:eastAsia="仿宋_GB2312" w:cs="宋体"/>
          <w:kern w:val="0"/>
          <w:sz w:val="32"/>
          <w:szCs w:val="32"/>
          <w:lang w:val="en-US" w:eastAsia="zh-CN"/>
        </w:rPr>
        <w:t>23</w:t>
      </w:r>
      <w:r>
        <w:rPr>
          <w:rFonts w:hint="eastAsia" w:ascii="仿宋_GB2312" w:hAnsi="宋体" w:eastAsia="仿宋_GB2312" w:cs="宋体"/>
          <w:kern w:val="0"/>
          <w:sz w:val="32"/>
          <w:szCs w:val="32"/>
        </w:rPr>
        <w:t>人，增加0人；离休0人，减少0人。</w:t>
      </w:r>
    </w:p>
    <w:p>
      <w:pPr>
        <w:widowControl/>
        <w:spacing w:before="120"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2025年单位预算公开表</w:t>
      </w:r>
    </w:p>
    <w:p>
      <w:pPr>
        <w:widowControl/>
        <w:spacing w:before="120" w:beforeLines="50"/>
        <w:outlineLvl w:val="1"/>
        <w:rPr>
          <w:rFonts w:hint="eastAsia" w:ascii="宋体" w:hAnsi="宋体" w:eastAsia="宋体" w:cs="宋体"/>
          <w:kern w:val="0"/>
          <w:sz w:val="20"/>
          <w:szCs w:val="20"/>
        </w:rPr>
      </w:pPr>
      <w:r>
        <w:rPr>
          <w:rFonts w:hint="eastAsia" w:ascii="宋体" w:hAnsi="宋体" w:eastAsia="宋体" w:cs="宋体"/>
          <w:kern w:val="0"/>
          <w:sz w:val="20"/>
          <w:szCs w:val="20"/>
        </w:rPr>
        <w:t>表1</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3"/>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
        <w:gridCol w:w="2567"/>
        <w:gridCol w:w="1701"/>
        <w:gridCol w:w="2693"/>
        <w:gridCol w:w="756"/>
        <w:gridCol w:w="945"/>
        <w:gridCol w:w="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22" w:type="dxa"/>
            <w:gridSpan w:val="5"/>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编制单位：墨玉县英也尔乡人民政府</w:t>
            </w:r>
          </w:p>
        </w:tc>
        <w:tc>
          <w:tcPr>
            <w:tcW w:w="1308" w:type="dxa"/>
            <w:gridSpan w:val="2"/>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exact"/>
        </w:trPr>
        <w:tc>
          <w:tcPr>
            <w:tcW w:w="2567"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gridSpan w:val="2"/>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一、本年收入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2755.66</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1906.63</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1.一般公共预算拨款</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2678.99</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2432.42</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246.57</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2.政府性基金预算拨款</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3.国有资本经营预算拨款</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280.60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136.12</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4.财政专户核拨</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5.单位资金</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76.67</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246.57</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76.67</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二、上年结转结余</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1.财政拨款结转</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185.74</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2.非财政拨款结余</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2755.66</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2755.66</w:t>
            </w:r>
          </w:p>
        </w:tc>
      </w:tr>
    </w:tbl>
    <w:p>
      <w:pPr>
        <w:widowControl/>
        <w:jc w:val="left"/>
        <w:outlineLvl w:val="1"/>
        <w:rPr>
          <w:rFonts w:ascii="微软雅黑" w:hAnsi="微软雅黑" w:eastAsia="微软雅黑" w:cs="Times New Roman"/>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pPr>
        <w:widowControl/>
        <w:jc w:val="left"/>
        <w:outlineLvl w:val="1"/>
        <w:rPr>
          <w:rFonts w:hint="eastAsia" w:ascii="宋体" w:hAnsi="宋体" w:eastAsia="宋体" w:cs="宋体"/>
          <w:kern w:val="0"/>
          <w:sz w:val="20"/>
          <w:szCs w:val="20"/>
        </w:rPr>
      </w:pPr>
      <w:r>
        <w:rPr>
          <w:rFonts w:hint="eastAsia" w:ascii="宋体" w:hAnsi="宋体" w:eastAsia="宋体" w:cs="宋体"/>
          <w:kern w:val="0"/>
          <w:sz w:val="20"/>
          <w:szCs w:val="20"/>
        </w:rPr>
        <w:t>表2</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3"/>
        <w:tblpPr w:leftFromText="180" w:rightFromText="180" w:vertAnchor="text" w:horzAnchor="page" w:tblpX="1676" w:tblpY="5"/>
        <w:tblOverlap w:val="never"/>
        <w:tblW w:w="13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00"/>
        <w:gridCol w:w="3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00" w:type="dxa"/>
            <w:tcBorders>
              <w:top w:val="nil"/>
              <w:left w:val="nil"/>
              <w:bottom w:val="nil"/>
              <w:right w:val="nil"/>
            </w:tcBorders>
          </w:tcPr>
          <w:p>
            <w:pPr>
              <w:widowControl/>
              <w:jc w:val="left"/>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编制单位：墨玉县英也尔乡人民政府</w:t>
            </w:r>
          </w:p>
        </w:tc>
        <w:tc>
          <w:tcPr>
            <w:tcW w:w="3889" w:type="dxa"/>
            <w:tcBorders>
              <w:top w:val="nil"/>
              <w:left w:val="nil"/>
              <w:bottom w:val="nil"/>
              <w:right w:val="nil"/>
            </w:tcBorders>
          </w:tcPr>
          <w:p>
            <w:pPr>
              <w:widowControl/>
              <w:jc w:val="right"/>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noWrap w:val="0"/>
            <w:vAlign w:val="center"/>
          </w:tcPr>
          <w:p>
            <w:pPr>
              <w:jc w:val="center"/>
              <w:rPr>
                <w:rFonts w:hint="eastAsia" w:ascii="仿宋_GB2312" w:eastAsia="仿宋_GB2312"/>
                <w:b/>
                <w:color w:val="000000"/>
                <w:sz w:val="20"/>
                <w:szCs w:val="20"/>
              </w:rPr>
            </w:pPr>
            <w:r>
              <w:rPr>
                <w:rFonts w:hint="eastAsia" w:ascii="仿宋_GB2312" w:hAnsi="宋体" w:eastAsia="仿宋_GB2312" w:cs="宋体"/>
                <w:b/>
                <w:bCs w:val="0"/>
                <w:color w:val="000000"/>
                <w:sz w:val="24"/>
                <w:szCs w:val="24"/>
                <w:highlight w:val="none"/>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pPr>
              <w:jc w:val="center"/>
              <w:rPr>
                <w:rFonts w:ascii="仿宋_GB2312" w:hAnsi="宋体" w:eastAsia="仿宋_GB2312" w:cs="宋体"/>
                <w:b/>
                <w:color w:val="000000"/>
                <w:sz w:val="20"/>
                <w:szCs w:val="20"/>
              </w:rPr>
            </w:pPr>
            <w:r>
              <w:rPr>
                <w:rFonts w:hint="eastAsia" w:ascii="仿宋_GB2312" w:eastAsia="仿宋_GB2312"/>
                <w:b/>
                <w:bCs w:val="0"/>
                <w:color w:val="000000"/>
                <w:sz w:val="20"/>
                <w:szCs w:val="20"/>
                <w:highlight w:val="none"/>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highlight w:val="none"/>
              </w:rPr>
              <w:t>单位资金</w:t>
            </w:r>
          </w:p>
        </w:tc>
        <w:tc>
          <w:tcPr>
            <w:tcW w:w="840" w:type="dxa"/>
            <w:vMerge w:val="restart"/>
            <w:tcBorders>
              <w:top w:val="single" w:color="auto" w:sz="4" w:space="0"/>
              <w:left w:val="single" w:color="auto" w:sz="4" w:space="0"/>
              <w:right w:val="single" w:color="auto" w:sz="4" w:space="0"/>
            </w:tcBorders>
            <w:shd w:val="clear" w:color="auto" w:fill="auto"/>
            <w:noWrap w:val="0"/>
            <w:vAlign w:val="center"/>
          </w:tcPr>
          <w:p>
            <w:pPr>
              <w:jc w:val="center"/>
              <w:rPr>
                <w:rFonts w:hint="eastAsia" w:ascii="仿宋_GB2312" w:eastAsia="仿宋_GB2312"/>
                <w:b/>
                <w:color w:val="000000"/>
                <w:sz w:val="20"/>
                <w:szCs w:val="20"/>
              </w:rPr>
            </w:pPr>
            <w:r>
              <w:rPr>
                <w:rFonts w:hint="eastAsia" w:ascii="仿宋_GB2312" w:eastAsia="仿宋_GB2312"/>
                <w:b/>
                <w:color w:val="000000"/>
                <w:sz w:val="20"/>
                <w:szCs w:val="20"/>
                <w:highlight w:val="none"/>
              </w:rPr>
              <w:t>财政拨款结转</w:t>
            </w:r>
          </w:p>
        </w:tc>
        <w:tc>
          <w:tcPr>
            <w:tcW w:w="820" w:type="dxa"/>
            <w:vMerge w:val="restart"/>
            <w:tcBorders>
              <w:top w:val="single" w:color="auto" w:sz="4" w:space="0"/>
              <w:left w:val="single" w:color="auto" w:sz="4" w:space="0"/>
              <w:right w:val="single" w:color="auto" w:sz="4" w:space="0"/>
            </w:tcBorders>
            <w:shd w:val="clear" w:color="auto" w:fill="auto"/>
            <w:noWrap w:val="0"/>
            <w:vAlign w:val="center"/>
          </w:tcPr>
          <w:p>
            <w:pPr>
              <w:jc w:val="center"/>
              <w:rPr>
                <w:rFonts w:hint="eastAsia" w:ascii="仿宋_GB2312" w:eastAsia="仿宋_GB2312"/>
                <w:b/>
                <w:color w:val="000000"/>
                <w:sz w:val="20"/>
                <w:szCs w:val="20"/>
              </w:rPr>
            </w:pPr>
            <w:r>
              <w:rPr>
                <w:rFonts w:hint="eastAsia" w:ascii="仿宋_GB2312" w:eastAsia="仿宋_GB2312"/>
                <w:b/>
                <w:color w:val="000000"/>
                <w:sz w:val="20"/>
                <w:szCs w:val="20"/>
                <w:highlight w:val="none"/>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财政拨款(补助)小计</w:t>
            </w:r>
          </w:p>
        </w:tc>
        <w:tc>
          <w:tcPr>
            <w:tcW w:w="950" w:type="dxa"/>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一般公共预算</w:t>
            </w:r>
          </w:p>
        </w:tc>
        <w:tc>
          <w:tcPr>
            <w:tcW w:w="840" w:type="dxa"/>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政府性基金预算</w:t>
            </w:r>
          </w:p>
        </w:tc>
        <w:tc>
          <w:tcPr>
            <w:tcW w:w="840" w:type="dxa"/>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国有资本经营预算</w:t>
            </w:r>
          </w:p>
        </w:tc>
        <w:tc>
          <w:tcPr>
            <w:tcW w:w="850" w:type="dxa"/>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一般公共服务支出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1906.63</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1829.96</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1829.96</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76.67</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03</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政府办公厅（室）及相关机构事务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1906.63</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1829.96</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1829.96</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76.67</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03</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1906.63</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1829.96</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1829.96</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76.67</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280.60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280.60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280.60</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280.60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280.60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280.60</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32.95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32.95</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32.95</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247.65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247.65</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247.65</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136.12</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136.12</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136.12</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136.12</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136.12</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136.12</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100.61</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100.61</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100.61</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35.51</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35.51</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35.51</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农林水支出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246.57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246.57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246.57</w:t>
            </w: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lang w:eastAsia="zh-CN"/>
              </w:rPr>
              <w:t>巩固拓展脱贫攻坚成果</w:t>
            </w:r>
            <w:r>
              <w:rPr>
                <w:rFonts w:hint="eastAsia" w:ascii="仿宋_GB2312" w:eastAsia="仿宋_GB2312"/>
                <w:b/>
                <w:color w:val="000000"/>
                <w:sz w:val="18"/>
                <w:szCs w:val="18"/>
              </w:rPr>
              <w:t>衔接乡村振兴</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150.27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150.27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150.27</w:t>
            </w: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其他</w:t>
            </w:r>
            <w:r>
              <w:rPr>
                <w:rFonts w:hint="eastAsia" w:ascii="仿宋_GB2312" w:eastAsia="仿宋_GB2312"/>
                <w:color w:val="000000"/>
                <w:sz w:val="18"/>
                <w:szCs w:val="18"/>
                <w:lang w:eastAsia="zh-CN"/>
              </w:rPr>
              <w:t>巩固拓展脱贫攻坚成果</w:t>
            </w:r>
            <w:r>
              <w:rPr>
                <w:rFonts w:hint="eastAsia" w:ascii="仿宋_GB2312" w:eastAsia="仿宋_GB2312"/>
                <w:color w:val="000000"/>
                <w:sz w:val="18"/>
                <w:szCs w:val="18"/>
              </w:rPr>
              <w:t>衔接乡村振兴支出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150.27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150.27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150.27</w:t>
            </w: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07</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农村综合改革</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96.30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96.30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96.30</w:t>
            </w: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07</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对村级公益事业建设的补助</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96.30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96.30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96.30</w:t>
            </w: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185.74</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185.74</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185.74</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185.74</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185.74</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185.74</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185.74</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185.74</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185.74</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b/>
                <w:color w:val="000000"/>
                <w:sz w:val="18"/>
                <w:szCs w:val="18"/>
              </w:rPr>
            </w:pPr>
            <w:r>
              <w:rPr>
                <w:rFonts w:hint="eastAsia" w:ascii="仿宋_GB2312" w:eastAsia="仿宋_GB2312"/>
                <w:b/>
                <w:color w:val="000000"/>
                <w:sz w:val="18"/>
                <w:szCs w:val="18"/>
              </w:rPr>
              <w:t>合    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2755.66</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2678.99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2432.42</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246.57</w:t>
            </w: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76.67</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r>
    </w:tbl>
    <w:p>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pPr>
        <w:widowControl/>
        <w:jc w:val="left"/>
        <w:outlineLvl w:val="1"/>
        <w:rPr>
          <w:rFonts w:ascii="仿宋_GB2312" w:hAnsi="宋体" w:eastAsia="仿宋_GB2312"/>
          <w:b/>
          <w:kern w:val="0"/>
          <w:sz w:val="32"/>
          <w:szCs w:val="32"/>
        </w:rPr>
      </w:pPr>
      <w:r>
        <w:rPr>
          <w:rFonts w:hint="eastAsia" w:ascii="宋体" w:hAnsi="宋体" w:eastAsia="宋体" w:cs="宋体"/>
          <w:kern w:val="0"/>
          <w:sz w:val="20"/>
          <w:szCs w:val="20"/>
        </w:rPr>
        <w:t>表3</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3"/>
        <w:tblW w:w="9010"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
        <w:gridCol w:w="489"/>
        <w:gridCol w:w="400"/>
        <w:gridCol w:w="400"/>
        <w:gridCol w:w="2415"/>
        <w:gridCol w:w="1760"/>
        <w:gridCol w:w="1761"/>
        <w:gridCol w:w="475"/>
        <w:gridCol w:w="1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7710" w:type="dxa"/>
            <w:gridSpan w:val="8"/>
            <w:tcBorders>
              <w:top w:val="nil"/>
              <w:left w:val="nil"/>
              <w:bottom w:val="nil"/>
              <w:right w:val="nil"/>
            </w:tcBorders>
          </w:tcPr>
          <w:p>
            <w:pPr>
              <w:widowControl/>
              <w:jc w:val="left"/>
              <w:outlineLvl w:val="1"/>
              <w:rPr>
                <w:rFonts w:ascii="仿宋_GB2312" w:hAnsi="宋体" w:eastAsia="仿宋_GB2312"/>
                <w:b/>
                <w:kern w:val="0"/>
                <w:sz w:val="32"/>
                <w:szCs w:val="32"/>
                <w:vertAlign w:val="baseline"/>
              </w:rPr>
            </w:pPr>
            <w:r>
              <w:rPr>
                <w:rFonts w:hint="eastAsia" w:ascii="仿宋_GB2312" w:eastAsia="仿宋_GB2312"/>
                <w:color w:val="000000"/>
                <w:sz w:val="24"/>
                <w:szCs w:val="24"/>
              </w:rPr>
              <w:t>编制单位：墨玉县英也尔乡人民政府</w:t>
            </w:r>
          </w:p>
        </w:tc>
        <w:tc>
          <w:tcPr>
            <w:tcW w:w="1300" w:type="dxa"/>
            <w:tcBorders>
              <w:top w:val="nil"/>
              <w:left w:val="nil"/>
              <w:bottom w:val="nil"/>
              <w:right w:val="nil"/>
            </w:tcBorders>
          </w:tcPr>
          <w:p>
            <w:pPr>
              <w:widowControl/>
              <w:jc w:val="right"/>
              <w:outlineLvl w:val="1"/>
              <w:rPr>
                <w:rFonts w:ascii="仿宋_GB2312" w:hAnsi="宋体" w:eastAsia="仿宋_GB2312"/>
                <w:b/>
                <w:kern w:val="0"/>
                <w:sz w:val="32"/>
                <w:szCs w:val="32"/>
                <w:vertAlign w:val="baseline"/>
              </w:rPr>
            </w:pPr>
            <w:r>
              <w:rPr>
                <w:rFonts w:hint="eastAsia" w:ascii="仿宋_GB2312" w:eastAsia="仿宋_GB2312"/>
                <w:sz w:val="24"/>
                <w:szCs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345" w:hRule="atLeast"/>
          <w:tblHeader/>
        </w:trPr>
        <w:tc>
          <w:tcPr>
            <w:tcW w:w="3704"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24"/>
                <w:szCs w:val="24"/>
              </w:rPr>
            </w:pPr>
            <w:r>
              <w:rPr>
                <w:rFonts w:hint="eastAsia" w:ascii="仿宋_GB2312" w:eastAsia="仿宋_GB2312"/>
                <w:b/>
                <w:bCs/>
                <w:color w:val="000000"/>
                <w:kern w:val="0"/>
                <w:sz w:val="24"/>
                <w:szCs w:val="24"/>
              </w:rPr>
              <w:t>科目</w:t>
            </w:r>
          </w:p>
        </w:tc>
        <w:tc>
          <w:tcPr>
            <w:tcW w:w="5296" w:type="dxa"/>
            <w:gridSpan w:val="4"/>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rFonts w:hint="eastAsia" w:ascii="仿宋_GB2312" w:eastAsia="仿宋_GB2312"/>
                <w:b/>
                <w:bCs/>
                <w:color w:val="000000"/>
                <w:kern w:val="0"/>
                <w:sz w:val="24"/>
                <w:szCs w:val="24"/>
              </w:rPr>
            </w:pPr>
            <w:r>
              <w:rPr>
                <w:rFonts w:hint="eastAsia" w:ascii="仿宋_GB2312" w:eastAsia="仿宋_GB2312"/>
                <w:b/>
                <w:bCs/>
                <w:color w:val="000000"/>
                <w:kern w:val="0"/>
                <w:sz w:val="24"/>
                <w:szCs w:val="24"/>
              </w:rPr>
              <w:t>支出预算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80" w:hRule="atLeast"/>
          <w:tblHeader/>
        </w:trPr>
        <w:tc>
          <w:tcPr>
            <w:tcW w:w="1289"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415"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760"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761"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775" w:type="dxa"/>
            <w:gridSpan w:val="2"/>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270" w:hRule="atLeast"/>
          <w:tblHeader/>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41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eastAsia="仿宋_GB2312"/>
                <w:b/>
                <w:bCs/>
                <w:color w:val="000000"/>
                <w:kern w:val="0"/>
                <w:sz w:val="20"/>
                <w:szCs w:val="20"/>
              </w:rPr>
            </w:pPr>
          </w:p>
        </w:tc>
        <w:tc>
          <w:tcPr>
            <w:tcW w:w="176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eastAsia="仿宋_GB2312"/>
                <w:b/>
                <w:bCs/>
                <w:color w:val="000000"/>
                <w:kern w:val="0"/>
                <w:sz w:val="20"/>
                <w:szCs w:val="20"/>
              </w:rPr>
            </w:pPr>
          </w:p>
        </w:tc>
        <w:tc>
          <w:tcPr>
            <w:tcW w:w="176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eastAsia="仿宋_GB2312"/>
                <w:b/>
                <w:bCs/>
                <w:color w:val="000000"/>
                <w:kern w:val="0"/>
                <w:sz w:val="20"/>
                <w:szCs w:val="20"/>
              </w:rPr>
            </w:pPr>
          </w:p>
        </w:tc>
        <w:tc>
          <w:tcPr>
            <w:tcW w:w="1775"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eastAsia="仿宋_GB2312"/>
                <w:b/>
                <w:bCs/>
                <w:color w:val="000000"/>
                <w:kern w:val="0"/>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2415"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一般公共服务支出</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1906.63</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1829.96</w:t>
            </w: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76.67</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03</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2415"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政府办公厅（室）及相关机构事务</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1906.63</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1829.96</w:t>
            </w: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76.67</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415"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1906.63</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1829.96</w:t>
            </w: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76.67</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2415"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280.60</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280.60</w:t>
            </w: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2415"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280.60</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280.60</w:t>
            </w: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415"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32.95</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32.95</w:t>
            </w: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415"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247.65</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247.65</w:t>
            </w: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2415"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136.12</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136.12</w:t>
            </w: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2415"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136.12</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136.12</w:t>
            </w: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415"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100.61</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100.61</w:t>
            </w: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415"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35.51</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35.51</w:t>
            </w: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2415"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农林水支出</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246.57</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246.57</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2415"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lang w:eastAsia="zh-CN"/>
              </w:rPr>
              <w:t>巩固拓展脱贫攻坚成果</w:t>
            </w:r>
            <w:r>
              <w:rPr>
                <w:rFonts w:hint="eastAsia" w:ascii="仿宋_GB2312" w:eastAsia="仿宋_GB2312"/>
                <w:b/>
                <w:color w:val="000000"/>
                <w:sz w:val="18"/>
                <w:szCs w:val="18"/>
              </w:rPr>
              <w:t>衔接乡村振兴</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150.27</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150.27</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415"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其他</w:t>
            </w:r>
            <w:r>
              <w:rPr>
                <w:rFonts w:hint="eastAsia" w:ascii="仿宋_GB2312" w:eastAsia="仿宋_GB2312"/>
                <w:color w:val="000000"/>
                <w:sz w:val="18"/>
                <w:szCs w:val="18"/>
                <w:lang w:eastAsia="zh-CN"/>
              </w:rPr>
              <w:t>巩固拓展脱贫攻坚成果</w:t>
            </w:r>
            <w:r>
              <w:rPr>
                <w:rFonts w:hint="eastAsia" w:ascii="仿宋_GB2312" w:eastAsia="仿宋_GB2312"/>
                <w:color w:val="000000"/>
                <w:sz w:val="18"/>
                <w:szCs w:val="18"/>
              </w:rPr>
              <w:t>衔接乡村振兴支出</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150.27</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150.27</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07</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2415"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农村综合改革</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96.30</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96.30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07</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415"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对村级公益事业建设的补助</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96.30</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96.30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2415"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185.74</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185.74</w:t>
            </w: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2415"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185.74</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185.74</w:t>
            </w: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415"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185.74</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185.74</w:t>
            </w: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2415"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     计</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2755.66</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2432.42</w:t>
            </w: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323.24</w:t>
            </w:r>
          </w:p>
        </w:tc>
      </w:tr>
    </w:tbl>
    <w:p>
      <w:pPr>
        <w:widowControl/>
        <w:spacing w:before="120" w:beforeLines="50"/>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表4</w:t>
      </w:r>
    </w:p>
    <w:p>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3"/>
        <w:tblW w:w="9035"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
        <w:gridCol w:w="1930"/>
        <w:gridCol w:w="1000"/>
        <w:gridCol w:w="2650"/>
        <w:gridCol w:w="930"/>
        <w:gridCol w:w="707"/>
        <w:gridCol w:w="213"/>
        <w:gridCol w:w="800"/>
        <w:gridCol w:w="795"/>
        <w:gridCol w:w="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5" w:type="dxa"/>
        </w:trPr>
        <w:tc>
          <w:tcPr>
            <w:tcW w:w="7222" w:type="dxa"/>
            <w:gridSpan w:val="6"/>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编制单位：墨玉县英也尔乡人民政府</w:t>
            </w:r>
          </w:p>
        </w:tc>
        <w:tc>
          <w:tcPr>
            <w:tcW w:w="1808" w:type="dxa"/>
            <w:gridSpan w:val="3"/>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285" w:hRule="atLeast"/>
        </w:trPr>
        <w:tc>
          <w:tcPr>
            <w:tcW w:w="29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100" w:type="dxa"/>
            <w:gridSpan w:val="7"/>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465" w:hRule="atLeast"/>
        </w:trPr>
        <w:tc>
          <w:tcPr>
            <w:tcW w:w="1930"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2678.99</w:t>
            </w: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1829.96</w:t>
            </w: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1829.96</w:t>
            </w: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2678.99</w:t>
            </w: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280.60</w:t>
            </w: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280.60</w:t>
            </w: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136.12</w:t>
            </w: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136.12</w:t>
            </w: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246.57</w:t>
            </w: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246.57</w:t>
            </w: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185.74</w:t>
            </w: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185.74</w:t>
            </w: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2678.99</w:t>
            </w: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2678.99</w:t>
            </w: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2678.99</w:t>
            </w: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bl>
    <w:p>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表5</w:t>
      </w:r>
    </w:p>
    <w:p>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3"/>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5"/>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15"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编制单位：墨玉县英也尔乡人民政府</w:t>
            </w:r>
          </w:p>
        </w:tc>
        <w:tc>
          <w:tcPr>
            <w:tcW w:w="1307"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441" w:type="dxa"/>
        <w:tblInd w:w="93" w:type="dxa"/>
        <w:tblLayout w:type="fixed"/>
        <w:tblCellMar>
          <w:top w:w="0" w:type="dxa"/>
          <w:left w:w="108" w:type="dxa"/>
          <w:bottom w:w="0" w:type="dxa"/>
          <w:right w:w="108" w:type="dxa"/>
        </w:tblCellMar>
      </w:tblPr>
      <w:tblGrid>
        <w:gridCol w:w="568"/>
        <w:gridCol w:w="568"/>
        <w:gridCol w:w="618"/>
        <w:gridCol w:w="2510"/>
        <w:gridCol w:w="1684"/>
        <w:gridCol w:w="1842"/>
        <w:gridCol w:w="1651"/>
      </w:tblGrid>
      <w:tr>
        <w:tblPrEx>
          <w:tblLayout w:type="fixed"/>
          <w:tblCellMar>
            <w:top w:w="0" w:type="dxa"/>
            <w:left w:w="108" w:type="dxa"/>
            <w:bottom w:w="0" w:type="dxa"/>
            <w:right w:w="108" w:type="dxa"/>
          </w:tblCellMar>
        </w:tblPrEx>
        <w:trPr>
          <w:trHeight w:val="405" w:hRule="atLeast"/>
          <w:tblHeader/>
        </w:trPr>
        <w:tc>
          <w:tcPr>
            <w:tcW w:w="4264" w:type="dxa"/>
            <w:gridSpan w:val="4"/>
            <w:tcBorders>
              <w:top w:val="single" w:color="auto" w:sz="4" w:space="0"/>
              <w:left w:val="single" w:color="auto" w:sz="4" w:space="0"/>
              <w:bottom w:val="single" w:color="auto" w:sz="4" w:space="0"/>
              <w:right w:val="single" w:color="000000" w:sz="4" w:space="0"/>
            </w:tcBorders>
            <w:shd w:val="clear" w:color="auto" w:fill="auto"/>
            <w:noWrap w:val="0"/>
            <w:vAlign w:val="center"/>
          </w:tcPr>
          <w:p>
            <w:pPr>
              <w:widowControl/>
              <w:jc w:val="cente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科目</w:t>
            </w:r>
          </w:p>
        </w:tc>
        <w:tc>
          <w:tcPr>
            <w:tcW w:w="5177" w:type="dxa"/>
            <w:gridSpan w:val="3"/>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一般公共预算支出</w:t>
            </w:r>
          </w:p>
        </w:tc>
      </w:tr>
      <w:tr>
        <w:tblPrEx>
          <w:tblLayout w:type="fixed"/>
          <w:tblCellMar>
            <w:top w:w="0" w:type="dxa"/>
            <w:left w:w="108" w:type="dxa"/>
            <w:bottom w:w="0" w:type="dxa"/>
            <w:right w:w="108" w:type="dxa"/>
          </w:tblCellMar>
        </w:tblPrEx>
        <w:trPr>
          <w:trHeight w:val="465" w:hRule="atLeast"/>
          <w:tblHeader/>
        </w:trPr>
        <w:tc>
          <w:tcPr>
            <w:tcW w:w="1754" w:type="dxa"/>
            <w:gridSpan w:val="3"/>
            <w:tcBorders>
              <w:top w:val="single" w:color="auto" w:sz="4" w:space="0"/>
              <w:left w:val="single" w:color="auto" w:sz="4" w:space="0"/>
              <w:bottom w:val="single" w:color="auto" w:sz="4" w:space="0"/>
              <w:right w:val="single" w:color="000000"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684"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842"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651"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tblPrEx>
          <w:tblLayout w:type="fixed"/>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68"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618"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szCs w:val="20"/>
              </w:rPr>
            </w:pPr>
          </w:p>
        </w:tc>
        <w:tc>
          <w:tcPr>
            <w:tcW w:w="1684"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szCs w:val="20"/>
              </w:rPr>
            </w:pPr>
          </w:p>
        </w:tc>
        <w:tc>
          <w:tcPr>
            <w:tcW w:w="1842"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szCs w:val="20"/>
              </w:rPr>
            </w:pPr>
          </w:p>
        </w:tc>
        <w:tc>
          <w:tcPr>
            <w:tcW w:w="165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szCs w:val="20"/>
              </w:rPr>
            </w:pPr>
          </w:p>
        </w:tc>
      </w:tr>
      <w:tr>
        <w:tblPrEx>
          <w:tblLayout w:type="fixed"/>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56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p>
        </w:tc>
        <w:tc>
          <w:tcPr>
            <w:tcW w:w="6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一般公共服务支出</w:t>
            </w:r>
          </w:p>
        </w:tc>
        <w:tc>
          <w:tcPr>
            <w:tcW w:w="1684"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1829.96</w:t>
            </w:r>
          </w:p>
        </w:tc>
        <w:tc>
          <w:tcPr>
            <w:tcW w:w="1842"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1829.96</w:t>
            </w:r>
          </w:p>
        </w:tc>
        <w:tc>
          <w:tcPr>
            <w:tcW w:w="16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56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03</w:t>
            </w:r>
          </w:p>
        </w:tc>
        <w:tc>
          <w:tcPr>
            <w:tcW w:w="6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政府办公厅（室）及相关机构事务</w:t>
            </w:r>
          </w:p>
        </w:tc>
        <w:tc>
          <w:tcPr>
            <w:tcW w:w="1684"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1829.96</w:t>
            </w:r>
          </w:p>
        </w:tc>
        <w:tc>
          <w:tcPr>
            <w:tcW w:w="1842"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1829.96</w:t>
            </w:r>
          </w:p>
        </w:tc>
        <w:tc>
          <w:tcPr>
            <w:tcW w:w="16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56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6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684"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1829.96</w:t>
            </w:r>
          </w:p>
        </w:tc>
        <w:tc>
          <w:tcPr>
            <w:tcW w:w="1842"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1829.96</w:t>
            </w:r>
          </w:p>
        </w:tc>
        <w:tc>
          <w:tcPr>
            <w:tcW w:w="16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56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p>
        </w:tc>
        <w:tc>
          <w:tcPr>
            <w:tcW w:w="6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684"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280.60</w:t>
            </w:r>
          </w:p>
        </w:tc>
        <w:tc>
          <w:tcPr>
            <w:tcW w:w="1842"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280.60</w:t>
            </w:r>
          </w:p>
        </w:tc>
        <w:tc>
          <w:tcPr>
            <w:tcW w:w="16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56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6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684"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280.60</w:t>
            </w:r>
          </w:p>
        </w:tc>
        <w:tc>
          <w:tcPr>
            <w:tcW w:w="1842"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280.60</w:t>
            </w:r>
          </w:p>
        </w:tc>
        <w:tc>
          <w:tcPr>
            <w:tcW w:w="16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56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6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684"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32.95</w:t>
            </w:r>
          </w:p>
        </w:tc>
        <w:tc>
          <w:tcPr>
            <w:tcW w:w="1842"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32.95</w:t>
            </w:r>
          </w:p>
        </w:tc>
        <w:tc>
          <w:tcPr>
            <w:tcW w:w="16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56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6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684"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247.65</w:t>
            </w:r>
          </w:p>
        </w:tc>
        <w:tc>
          <w:tcPr>
            <w:tcW w:w="1842"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247.65</w:t>
            </w:r>
          </w:p>
        </w:tc>
        <w:tc>
          <w:tcPr>
            <w:tcW w:w="16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56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p>
        </w:tc>
        <w:tc>
          <w:tcPr>
            <w:tcW w:w="6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684"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136.12</w:t>
            </w:r>
          </w:p>
        </w:tc>
        <w:tc>
          <w:tcPr>
            <w:tcW w:w="1842"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136.12</w:t>
            </w:r>
          </w:p>
        </w:tc>
        <w:tc>
          <w:tcPr>
            <w:tcW w:w="16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56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6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684"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136.12</w:t>
            </w:r>
          </w:p>
        </w:tc>
        <w:tc>
          <w:tcPr>
            <w:tcW w:w="1842"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136.12</w:t>
            </w:r>
          </w:p>
        </w:tc>
        <w:tc>
          <w:tcPr>
            <w:tcW w:w="16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56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6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684"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100.61</w:t>
            </w:r>
          </w:p>
        </w:tc>
        <w:tc>
          <w:tcPr>
            <w:tcW w:w="1842"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100.61</w:t>
            </w:r>
          </w:p>
        </w:tc>
        <w:tc>
          <w:tcPr>
            <w:tcW w:w="16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56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6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684"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35.51</w:t>
            </w:r>
          </w:p>
        </w:tc>
        <w:tc>
          <w:tcPr>
            <w:tcW w:w="1842"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35.51</w:t>
            </w:r>
          </w:p>
        </w:tc>
        <w:tc>
          <w:tcPr>
            <w:tcW w:w="16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56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p>
        </w:tc>
        <w:tc>
          <w:tcPr>
            <w:tcW w:w="6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农林水支出</w:t>
            </w:r>
          </w:p>
        </w:tc>
        <w:tc>
          <w:tcPr>
            <w:tcW w:w="1684"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246.57</w:t>
            </w:r>
          </w:p>
        </w:tc>
        <w:tc>
          <w:tcPr>
            <w:tcW w:w="1842"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p>
        </w:tc>
        <w:tc>
          <w:tcPr>
            <w:tcW w:w="16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246.57</w:t>
            </w:r>
          </w:p>
        </w:tc>
      </w:tr>
      <w:tr>
        <w:tblPrEx>
          <w:tblLayout w:type="fixed"/>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56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6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lang w:eastAsia="zh-CN"/>
              </w:rPr>
              <w:t>巩固拓展脱贫攻坚成果</w:t>
            </w:r>
            <w:r>
              <w:rPr>
                <w:rFonts w:hint="eastAsia" w:ascii="仿宋_GB2312" w:hAnsi="宋体" w:eastAsia="仿宋_GB2312" w:cs="宋体"/>
                <w:b/>
                <w:color w:val="000000"/>
                <w:kern w:val="0"/>
                <w:sz w:val="18"/>
                <w:szCs w:val="18"/>
              </w:rPr>
              <w:t>衔接乡村振兴</w:t>
            </w:r>
          </w:p>
        </w:tc>
        <w:tc>
          <w:tcPr>
            <w:tcW w:w="1684"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150.27</w:t>
            </w:r>
          </w:p>
        </w:tc>
        <w:tc>
          <w:tcPr>
            <w:tcW w:w="1842"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p>
        </w:tc>
        <w:tc>
          <w:tcPr>
            <w:tcW w:w="16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150.27</w:t>
            </w:r>
          </w:p>
        </w:tc>
      </w:tr>
      <w:tr>
        <w:tblPrEx>
          <w:tblLayout w:type="fixed"/>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56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6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w:t>
            </w:r>
            <w:r>
              <w:rPr>
                <w:rFonts w:hint="eastAsia" w:ascii="仿宋_GB2312" w:hAnsi="宋体" w:eastAsia="仿宋_GB2312" w:cs="宋体"/>
                <w:color w:val="000000"/>
                <w:kern w:val="0"/>
                <w:sz w:val="18"/>
                <w:szCs w:val="18"/>
                <w:lang w:eastAsia="zh-CN"/>
              </w:rPr>
              <w:t>巩固拓展脱贫攻坚成果</w:t>
            </w:r>
            <w:r>
              <w:rPr>
                <w:rFonts w:hint="eastAsia" w:ascii="仿宋_GB2312" w:hAnsi="宋体" w:eastAsia="仿宋_GB2312" w:cs="宋体"/>
                <w:color w:val="000000"/>
                <w:kern w:val="0"/>
                <w:sz w:val="18"/>
                <w:szCs w:val="18"/>
              </w:rPr>
              <w:t>衔接乡村振兴支出</w:t>
            </w:r>
          </w:p>
        </w:tc>
        <w:tc>
          <w:tcPr>
            <w:tcW w:w="1684"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150.27</w:t>
            </w:r>
          </w:p>
        </w:tc>
        <w:tc>
          <w:tcPr>
            <w:tcW w:w="1842"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16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150.27</w:t>
            </w:r>
          </w:p>
        </w:tc>
      </w:tr>
      <w:tr>
        <w:tblPrEx>
          <w:tblLayout w:type="fixed"/>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56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07</w:t>
            </w:r>
          </w:p>
        </w:tc>
        <w:tc>
          <w:tcPr>
            <w:tcW w:w="6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农村综合改革</w:t>
            </w:r>
          </w:p>
        </w:tc>
        <w:tc>
          <w:tcPr>
            <w:tcW w:w="1684"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96.30</w:t>
            </w:r>
          </w:p>
        </w:tc>
        <w:tc>
          <w:tcPr>
            <w:tcW w:w="1842"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p>
        </w:tc>
        <w:tc>
          <w:tcPr>
            <w:tcW w:w="16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96.30</w:t>
            </w:r>
          </w:p>
        </w:tc>
      </w:tr>
      <w:tr>
        <w:tblPrEx>
          <w:tblLayout w:type="fixed"/>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56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07</w:t>
            </w:r>
          </w:p>
        </w:tc>
        <w:tc>
          <w:tcPr>
            <w:tcW w:w="6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对村级公益事业建设的补助</w:t>
            </w:r>
          </w:p>
        </w:tc>
        <w:tc>
          <w:tcPr>
            <w:tcW w:w="1684"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96.30</w:t>
            </w:r>
          </w:p>
        </w:tc>
        <w:tc>
          <w:tcPr>
            <w:tcW w:w="1842"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16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96.30</w:t>
            </w:r>
          </w:p>
        </w:tc>
      </w:tr>
      <w:tr>
        <w:tblPrEx>
          <w:tblLayout w:type="fixed"/>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56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p>
        </w:tc>
        <w:tc>
          <w:tcPr>
            <w:tcW w:w="6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684"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185.74</w:t>
            </w:r>
          </w:p>
        </w:tc>
        <w:tc>
          <w:tcPr>
            <w:tcW w:w="1842"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185.74</w:t>
            </w:r>
          </w:p>
        </w:tc>
        <w:tc>
          <w:tcPr>
            <w:tcW w:w="16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56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6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684"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185.74</w:t>
            </w:r>
          </w:p>
        </w:tc>
        <w:tc>
          <w:tcPr>
            <w:tcW w:w="1842"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185.74</w:t>
            </w:r>
          </w:p>
        </w:tc>
        <w:tc>
          <w:tcPr>
            <w:tcW w:w="16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56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6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684"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185.74</w:t>
            </w:r>
          </w:p>
        </w:tc>
        <w:tc>
          <w:tcPr>
            <w:tcW w:w="1842"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185.74</w:t>
            </w:r>
          </w:p>
        </w:tc>
        <w:tc>
          <w:tcPr>
            <w:tcW w:w="16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56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p>
        </w:tc>
        <w:tc>
          <w:tcPr>
            <w:tcW w:w="6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  计</w:t>
            </w:r>
          </w:p>
        </w:tc>
        <w:tc>
          <w:tcPr>
            <w:tcW w:w="1684"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2678.99</w:t>
            </w:r>
          </w:p>
        </w:tc>
        <w:tc>
          <w:tcPr>
            <w:tcW w:w="1842"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2432.42</w:t>
            </w:r>
          </w:p>
        </w:tc>
        <w:tc>
          <w:tcPr>
            <w:tcW w:w="16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246.57</w:t>
            </w:r>
          </w:p>
        </w:tc>
      </w:tr>
    </w:tbl>
    <w:p>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表6</w:t>
      </w:r>
    </w:p>
    <w:p>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3"/>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26"/>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26"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编制单位：墨玉县英也尔乡人民政府</w:t>
            </w:r>
          </w:p>
        </w:tc>
        <w:tc>
          <w:tcPr>
            <w:tcW w:w="1308"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328" w:type="dxa"/>
        <w:tblInd w:w="93" w:type="dxa"/>
        <w:tblLayout w:type="fixed"/>
        <w:tblCellMar>
          <w:top w:w="0" w:type="dxa"/>
          <w:left w:w="108" w:type="dxa"/>
          <w:bottom w:w="0" w:type="dxa"/>
          <w:right w:w="108" w:type="dxa"/>
        </w:tblCellMar>
      </w:tblPr>
      <w:tblGrid>
        <w:gridCol w:w="757"/>
        <w:gridCol w:w="577"/>
        <w:gridCol w:w="2891"/>
        <w:gridCol w:w="1701"/>
        <w:gridCol w:w="1701"/>
        <w:gridCol w:w="1701"/>
      </w:tblGrid>
      <w:tr>
        <w:tblPrEx>
          <w:tblLayout w:type="fixed"/>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noWrap w:val="0"/>
            <w:vAlign w:val="center"/>
          </w:tcPr>
          <w:p>
            <w:pPr>
              <w:widowControl/>
              <w:jc w:val="center"/>
              <w:rPr>
                <w:rFonts w:ascii="仿宋_GB2312" w:hAnsi="宋体" w:eastAsia="仿宋_GB2312" w:cs="宋体"/>
                <w:b/>
                <w:bCs/>
                <w:color w:val="000000"/>
                <w:kern w:val="0"/>
                <w:sz w:val="24"/>
                <w:szCs w:val="24"/>
              </w:rPr>
            </w:pPr>
            <w:r>
              <w:rPr>
                <w:rFonts w:ascii="仿宋_GB2312" w:hAnsi="宋体" w:eastAsia="仿宋_GB2312" w:cs="宋体"/>
                <w:b/>
                <w:bCs/>
                <w:color w:val="000000"/>
                <w:kern w:val="0"/>
                <w:sz w:val="24"/>
                <w:szCs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rFonts w:ascii="仿宋_GB2312" w:hAnsi="宋体" w:eastAsia="仿宋_GB2312" w:cs="宋体"/>
                <w:b/>
                <w:bCs/>
                <w:color w:val="000000"/>
                <w:kern w:val="0"/>
                <w:sz w:val="24"/>
                <w:szCs w:val="24"/>
              </w:rPr>
            </w:pPr>
            <w:r>
              <w:rPr>
                <w:rFonts w:ascii="仿宋_GB2312" w:hAnsi="宋体" w:eastAsia="仿宋_GB2312" w:cs="宋体"/>
                <w:b/>
                <w:bCs/>
                <w:color w:val="000000"/>
                <w:kern w:val="0"/>
                <w:sz w:val="24"/>
                <w:szCs w:val="24"/>
              </w:rPr>
              <w:t>一般公共预算基本支出</w:t>
            </w:r>
          </w:p>
        </w:tc>
      </w:tr>
      <w:tr>
        <w:tblPrEx>
          <w:tblLayout w:type="fixed"/>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noWrap w:val="0"/>
            <w:vAlign w:val="center"/>
          </w:tcPr>
          <w:p>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tblPrEx>
          <w:tblLayout w:type="fixed"/>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hAnsi="宋体" w:eastAsia="仿宋_GB2312" w:cs="宋体"/>
                <w:b/>
                <w:bCs/>
                <w:color w:val="000000"/>
                <w:kern w:val="0"/>
                <w:sz w:val="20"/>
                <w:szCs w:val="20"/>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2355.30</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2355.30</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481.79</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481.79</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819.14</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819.14</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362.36</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362.36</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113.60</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113.60</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247.65</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247.65</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100.61</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100.61</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35.51</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35.51</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8.90</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8.90</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185.74</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185.74</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44.17</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44.17</w:t>
            </w: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25.27</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25.27</w:t>
            </w: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8.40</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8.40</w:t>
            </w: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10.50</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10.50</w:t>
            </w: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32.95</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32.95</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32.95</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32.95</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  计</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2432.42</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2388.25</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44.17</w:t>
            </w:r>
          </w:p>
        </w:tc>
      </w:tr>
    </w:tbl>
    <w:p>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pPr>
        <w:widowControl/>
        <w:jc w:val="left"/>
        <w:outlineLvl w:val="1"/>
        <w:rPr>
          <w:rFonts w:ascii="仿宋_GB2312" w:hAnsi="宋体" w:eastAsia="仿宋_GB2312"/>
          <w:b/>
          <w:kern w:val="0"/>
          <w:sz w:val="32"/>
          <w:szCs w:val="32"/>
        </w:rPr>
      </w:pPr>
      <w:r>
        <w:rPr>
          <w:rFonts w:hint="eastAsia" w:ascii="宋体" w:hAnsi="宋体" w:eastAsia="宋体" w:cs="宋体"/>
          <w:kern w:val="0"/>
          <w:sz w:val="20"/>
          <w:szCs w:val="20"/>
        </w:rPr>
        <w:t>表7</w:t>
      </w:r>
    </w:p>
    <w:p>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3"/>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50"/>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50"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编制单位：墨玉县英也尔乡人民政府</w:t>
            </w:r>
          </w:p>
        </w:tc>
        <w:tc>
          <w:tcPr>
            <w:tcW w:w="2720" w:type="dxa"/>
            <w:tcBorders>
              <w:top w:val="nil"/>
              <w:left w:val="nil"/>
              <w:bottom w:val="nil"/>
              <w:right w:val="nil"/>
            </w:tcBorders>
          </w:tcPr>
          <w:p>
            <w:pPr>
              <w:widowControl/>
              <w:jc w:val="right"/>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tblHeader/>
        </w:trPr>
        <w:tc>
          <w:tcPr>
            <w:tcW w:w="534" w:type="dxa"/>
            <w:shd w:val="clear" w:color="auto" w:fill="auto"/>
            <w:vAlign w:val="center"/>
          </w:tcPr>
          <w:p>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pPr>
              <w:jc w:val="center"/>
              <w:rPr>
                <w:sz w:val="20"/>
                <w:szCs w:val="20"/>
              </w:rPr>
            </w:pPr>
          </w:p>
        </w:tc>
        <w:tc>
          <w:tcPr>
            <w:tcW w:w="2170" w:type="dxa"/>
            <w:vMerge w:val="continue"/>
            <w:shd w:val="clear" w:color="auto" w:fill="auto"/>
            <w:vAlign w:val="center"/>
          </w:tcPr>
          <w:p>
            <w:pPr>
              <w:jc w:val="center"/>
              <w:rPr>
                <w:sz w:val="20"/>
                <w:szCs w:val="20"/>
              </w:rPr>
            </w:pPr>
          </w:p>
        </w:tc>
        <w:tc>
          <w:tcPr>
            <w:tcW w:w="950" w:type="dxa"/>
            <w:vMerge w:val="continue"/>
            <w:shd w:val="clear" w:color="auto" w:fill="auto"/>
            <w:vAlign w:val="center"/>
          </w:tcPr>
          <w:p>
            <w:pPr>
              <w:jc w:val="center"/>
              <w:rPr>
                <w:sz w:val="20"/>
                <w:szCs w:val="20"/>
              </w:rPr>
            </w:pPr>
          </w:p>
        </w:tc>
        <w:tc>
          <w:tcPr>
            <w:tcW w:w="720" w:type="dxa"/>
            <w:vMerge w:val="continue"/>
            <w:shd w:val="clear" w:color="auto" w:fill="auto"/>
            <w:vAlign w:val="center"/>
          </w:tcPr>
          <w:p>
            <w:pPr>
              <w:jc w:val="center"/>
              <w:rPr>
                <w:sz w:val="20"/>
                <w:szCs w:val="20"/>
              </w:rPr>
            </w:pPr>
          </w:p>
        </w:tc>
        <w:tc>
          <w:tcPr>
            <w:tcW w:w="820" w:type="dxa"/>
            <w:vMerge w:val="continue"/>
            <w:shd w:val="clear" w:color="auto" w:fill="auto"/>
            <w:vAlign w:val="center"/>
          </w:tcPr>
          <w:p>
            <w:pPr>
              <w:jc w:val="center"/>
              <w:rPr>
                <w:sz w:val="20"/>
                <w:szCs w:val="20"/>
              </w:rPr>
            </w:pPr>
          </w:p>
        </w:tc>
        <w:tc>
          <w:tcPr>
            <w:tcW w:w="670" w:type="dxa"/>
            <w:vMerge w:val="continue"/>
            <w:shd w:val="clear" w:color="auto" w:fill="auto"/>
            <w:vAlign w:val="center"/>
          </w:tcPr>
          <w:p>
            <w:pPr>
              <w:jc w:val="center"/>
              <w:rPr>
                <w:sz w:val="20"/>
                <w:szCs w:val="20"/>
              </w:rPr>
            </w:pPr>
          </w:p>
        </w:tc>
        <w:tc>
          <w:tcPr>
            <w:tcW w:w="710" w:type="dxa"/>
            <w:vMerge w:val="continue"/>
            <w:shd w:val="clear" w:color="auto" w:fill="auto"/>
            <w:vAlign w:val="center"/>
          </w:tcPr>
          <w:p>
            <w:pPr>
              <w:jc w:val="center"/>
              <w:rPr>
                <w:sz w:val="20"/>
                <w:szCs w:val="20"/>
              </w:rPr>
            </w:pPr>
          </w:p>
        </w:tc>
        <w:tc>
          <w:tcPr>
            <w:tcW w:w="700" w:type="dxa"/>
            <w:vMerge w:val="continue"/>
            <w:shd w:val="clear" w:color="auto" w:fill="auto"/>
            <w:vAlign w:val="center"/>
          </w:tcPr>
          <w:p>
            <w:pPr>
              <w:jc w:val="center"/>
              <w:rPr>
                <w:sz w:val="20"/>
                <w:szCs w:val="20"/>
              </w:rPr>
            </w:pPr>
          </w:p>
        </w:tc>
        <w:tc>
          <w:tcPr>
            <w:tcW w:w="710" w:type="dxa"/>
            <w:vMerge w:val="continue"/>
            <w:shd w:val="clear" w:color="auto" w:fill="auto"/>
            <w:vAlign w:val="center"/>
          </w:tcPr>
          <w:p>
            <w:pPr>
              <w:jc w:val="center"/>
              <w:rPr>
                <w:sz w:val="20"/>
                <w:szCs w:val="20"/>
              </w:rPr>
            </w:pPr>
          </w:p>
        </w:tc>
        <w:tc>
          <w:tcPr>
            <w:tcW w:w="790" w:type="dxa"/>
            <w:vMerge w:val="continue"/>
            <w:shd w:val="clear" w:color="auto" w:fill="auto"/>
          </w:tcPr>
          <w:p>
            <w:pPr>
              <w:jc w:val="center"/>
              <w:rPr>
                <w:sz w:val="20"/>
                <w:szCs w:val="20"/>
              </w:rPr>
            </w:pPr>
          </w:p>
        </w:tc>
        <w:tc>
          <w:tcPr>
            <w:tcW w:w="640" w:type="dxa"/>
            <w:vMerge w:val="continue"/>
            <w:shd w:val="clear" w:color="auto" w:fill="auto"/>
            <w:vAlign w:val="center"/>
          </w:tcPr>
          <w:p>
            <w:pPr>
              <w:jc w:val="center"/>
              <w:rPr>
                <w:sz w:val="20"/>
                <w:szCs w:val="20"/>
              </w:rPr>
            </w:pPr>
          </w:p>
        </w:tc>
        <w:tc>
          <w:tcPr>
            <w:tcW w:w="700" w:type="dxa"/>
            <w:vMerge w:val="continue"/>
            <w:shd w:val="clear" w:color="auto" w:fill="auto"/>
          </w:tcPr>
          <w:p>
            <w:pPr>
              <w:jc w:val="center"/>
              <w:rPr>
                <w:sz w:val="20"/>
                <w:szCs w:val="20"/>
              </w:rPr>
            </w:pPr>
          </w:p>
        </w:tc>
        <w:tc>
          <w:tcPr>
            <w:tcW w:w="620" w:type="dxa"/>
            <w:vMerge w:val="continue"/>
            <w:shd w:val="clear" w:color="auto" w:fill="auto"/>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pPr>
              <w:jc w:val="center"/>
              <w:rPr>
                <w:rFonts w:hint="eastAsia" w:ascii="仿宋_GB2312" w:hAnsi="宋体" w:eastAsia="仿宋_GB2312" w:cs="宋体"/>
                <w:b/>
                <w:sz w:val="18"/>
                <w:szCs w:val="18"/>
              </w:rPr>
            </w:pPr>
          </w:p>
        </w:tc>
        <w:tc>
          <w:tcPr>
            <w:tcW w:w="567" w:type="dxa"/>
            <w:shd w:val="clear" w:color="auto" w:fill="auto"/>
            <w:vAlign w:val="center"/>
          </w:tcPr>
          <w:p>
            <w:pPr>
              <w:jc w:val="center"/>
              <w:rPr>
                <w:rFonts w:hint="eastAsia" w:ascii="仿宋_GB2312" w:hAnsi="宋体" w:eastAsia="仿宋_GB2312" w:cs="宋体"/>
                <w:b/>
                <w:sz w:val="18"/>
                <w:szCs w:val="18"/>
              </w:rPr>
            </w:pPr>
          </w:p>
        </w:tc>
        <w:tc>
          <w:tcPr>
            <w:tcW w:w="2321" w:type="dxa"/>
            <w:shd w:val="clear" w:color="auto" w:fill="auto"/>
            <w:vAlign w:val="center"/>
          </w:tcPr>
          <w:p>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农林水支出</w:t>
            </w:r>
          </w:p>
        </w:tc>
        <w:tc>
          <w:tcPr>
            <w:tcW w:w="2170" w:type="dxa"/>
            <w:shd w:val="clear" w:color="auto" w:fill="auto"/>
            <w:vAlign w:val="center"/>
          </w:tcPr>
          <w:p>
            <w:pPr>
              <w:jc w:val="left"/>
              <w:rPr>
                <w:rFonts w:hint="eastAsia" w:ascii="仿宋_GB2312" w:hAnsi="宋体" w:eastAsia="仿宋_GB2312" w:cs="宋体"/>
                <w:b/>
                <w:sz w:val="18"/>
                <w:szCs w:val="18"/>
              </w:rPr>
            </w:pPr>
          </w:p>
        </w:tc>
        <w:tc>
          <w:tcPr>
            <w:tcW w:w="950" w:type="dxa"/>
            <w:shd w:val="clear" w:color="auto" w:fill="auto"/>
            <w:vAlign w:val="center"/>
          </w:tcPr>
          <w:p>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246.57</w:t>
            </w:r>
          </w:p>
        </w:tc>
        <w:tc>
          <w:tcPr>
            <w:tcW w:w="720" w:type="dxa"/>
            <w:shd w:val="clear" w:color="auto" w:fill="auto"/>
            <w:vAlign w:val="center"/>
          </w:tcPr>
          <w:p>
            <w:pPr>
              <w:jc w:val="right"/>
              <w:rPr>
                <w:rFonts w:hint="eastAsia" w:ascii="仿宋_GB2312" w:hAnsi="宋体" w:eastAsia="仿宋_GB2312" w:cs="宋体"/>
                <w:b/>
                <w:sz w:val="18"/>
                <w:szCs w:val="18"/>
              </w:rPr>
            </w:pPr>
          </w:p>
        </w:tc>
        <w:tc>
          <w:tcPr>
            <w:tcW w:w="820" w:type="dxa"/>
            <w:shd w:val="clear" w:color="auto" w:fill="auto"/>
            <w:vAlign w:val="center"/>
          </w:tcPr>
          <w:p>
            <w:pPr>
              <w:jc w:val="right"/>
              <w:rPr>
                <w:rFonts w:hint="eastAsia" w:ascii="仿宋_GB2312" w:hAnsi="宋体" w:eastAsia="仿宋_GB2312" w:cs="宋体"/>
                <w:b/>
                <w:sz w:val="18"/>
                <w:szCs w:val="18"/>
              </w:rPr>
            </w:pPr>
          </w:p>
        </w:tc>
        <w:tc>
          <w:tcPr>
            <w:tcW w:w="670" w:type="dxa"/>
            <w:shd w:val="clear" w:color="auto" w:fill="auto"/>
            <w:vAlign w:val="center"/>
          </w:tcPr>
          <w:p>
            <w:pPr>
              <w:jc w:val="right"/>
              <w:rPr>
                <w:rFonts w:hint="eastAsia" w:ascii="仿宋_GB2312" w:hAnsi="宋体" w:eastAsia="仿宋_GB2312" w:cs="宋体"/>
                <w:b/>
                <w:sz w:val="18"/>
                <w:szCs w:val="18"/>
              </w:rPr>
            </w:pPr>
          </w:p>
        </w:tc>
        <w:tc>
          <w:tcPr>
            <w:tcW w:w="710" w:type="dxa"/>
            <w:shd w:val="clear" w:color="auto" w:fill="auto"/>
            <w:vAlign w:val="center"/>
          </w:tcPr>
          <w:p>
            <w:pPr>
              <w:jc w:val="right"/>
              <w:rPr>
                <w:rFonts w:hint="eastAsia" w:ascii="仿宋_GB2312" w:hAnsi="宋体" w:eastAsia="仿宋_GB2312" w:cs="宋体"/>
                <w:b/>
                <w:sz w:val="18"/>
                <w:szCs w:val="18"/>
              </w:rPr>
            </w:pPr>
          </w:p>
        </w:tc>
        <w:tc>
          <w:tcPr>
            <w:tcW w:w="700" w:type="dxa"/>
            <w:shd w:val="clear" w:color="auto" w:fill="auto"/>
            <w:vAlign w:val="center"/>
          </w:tcPr>
          <w:p>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169.73</w:t>
            </w:r>
          </w:p>
        </w:tc>
        <w:tc>
          <w:tcPr>
            <w:tcW w:w="710" w:type="dxa"/>
            <w:shd w:val="clear" w:color="auto" w:fill="auto"/>
            <w:vAlign w:val="center"/>
          </w:tcPr>
          <w:p>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76.84</w:t>
            </w:r>
          </w:p>
        </w:tc>
        <w:tc>
          <w:tcPr>
            <w:tcW w:w="790" w:type="dxa"/>
            <w:shd w:val="clear" w:color="auto" w:fill="auto"/>
            <w:vAlign w:val="center"/>
          </w:tcPr>
          <w:p>
            <w:pPr>
              <w:jc w:val="right"/>
              <w:rPr>
                <w:rFonts w:hint="eastAsia" w:ascii="仿宋_GB2312" w:hAnsi="宋体" w:eastAsia="仿宋_GB2312" w:cs="宋体"/>
                <w:b/>
                <w:sz w:val="18"/>
                <w:szCs w:val="18"/>
              </w:rPr>
            </w:pPr>
          </w:p>
        </w:tc>
        <w:tc>
          <w:tcPr>
            <w:tcW w:w="640" w:type="dxa"/>
            <w:shd w:val="clear" w:color="auto" w:fill="auto"/>
            <w:vAlign w:val="center"/>
          </w:tcPr>
          <w:p>
            <w:pPr>
              <w:jc w:val="right"/>
              <w:rPr>
                <w:rFonts w:hint="eastAsia" w:ascii="仿宋_GB2312" w:hAnsi="宋体" w:eastAsia="仿宋_GB2312" w:cs="宋体"/>
                <w:b/>
                <w:sz w:val="18"/>
                <w:szCs w:val="18"/>
              </w:rPr>
            </w:pPr>
          </w:p>
        </w:tc>
        <w:tc>
          <w:tcPr>
            <w:tcW w:w="700" w:type="dxa"/>
            <w:shd w:val="clear" w:color="auto" w:fill="auto"/>
            <w:vAlign w:val="center"/>
          </w:tcPr>
          <w:p>
            <w:pPr>
              <w:jc w:val="right"/>
              <w:rPr>
                <w:rFonts w:hint="eastAsia" w:ascii="仿宋_GB2312" w:hAnsi="宋体" w:eastAsia="仿宋_GB2312" w:cs="宋体"/>
                <w:b/>
                <w:sz w:val="18"/>
                <w:szCs w:val="18"/>
              </w:rPr>
            </w:pPr>
          </w:p>
        </w:tc>
        <w:tc>
          <w:tcPr>
            <w:tcW w:w="620" w:type="dxa"/>
            <w:shd w:val="clear" w:color="auto" w:fill="auto"/>
            <w:vAlign w:val="center"/>
          </w:tcPr>
          <w:p>
            <w:pPr>
              <w:jc w:val="right"/>
              <w:rPr>
                <w:rFonts w:hint="eastAsia" w:ascii="仿宋_GB2312" w:hAnsi="宋体" w:eastAsia="仿宋_GB2312"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05</w:t>
            </w:r>
          </w:p>
        </w:tc>
        <w:tc>
          <w:tcPr>
            <w:tcW w:w="567" w:type="dxa"/>
            <w:shd w:val="clear" w:color="auto" w:fill="auto"/>
            <w:vAlign w:val="center"/>
          </w:tcPr>
          <w:p>
            <w:pPr>
              <w:jc w:val="center"/>
              <w:rPr>
                <w:rFonts w:hint="eastAsia" w:ascii="仿宋_GB2312" w:hAnsi="宋体" w:eastAsia="仿宋_GB2312" w:cs="宋体"/>
                <w:b/>
                <w:sz w:val="18"/>
                <w:szCs w:val="18"/>
              </w:rPr>
            </w:pPr>
          </w:p>
        </w:tc>
        <w:tc>
          <w:tcPr>
            <w:tcW w:w="2321" w:type="dxa"/>
            <w:shd w:val="clear" w:color="auto" w:fill="auto"/>
            <w:vAlign w:val="center"/>
          </w:tcPr>
          <w:p>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lang w:eastAsia="zh-CN"/>
              </w:rPr>
              <w:t>巩固拓展脱贫攻坚成果</w:t>
            </w:r>
            <w:r>
              <w:rPr>
                <w:rFonts w:hint="eastAsia" w:ascii="仿宋_GB2312" w:hAnsi="宋体" w:eastAsia="仿宋_GB2312" w:cs="宋体"/>
                <w:b/>
                <w:kern w:val="0"/>
                <w:sz w:val="18"/>
                <w:szCs w:val="18"/>
              </w:rPr>
              <w:t>衔接乡村振兴</w:t>
            </w:r>
          </w:p>
        </w:tc>
        <w:tc>
          <w:tcPr>
            <w:tcW w:w="2170" w:type="dxa"/>
            <w:shd w:val="clear" w:color="auto" w:fill="auto"/>
            <w:vAlign w:val="center"/>
          </w:tcPr>
          <w:p>
            <w:pPr>
              <w:jc w:val="left"/>
              <w:rPr>
                <w:rFonts w:hint="eastAsia" w:ascii="仿宋_GB2312" w:hAnsi="宋体" w:eastAsia="仿宋_GB2312" w:cs="宋体"/>
                <w:b/>
                <w:sz w:val="18"/>
                <w:szCs w:val="18"/>
              </w:rPr>
            </w:pPr>
          </w:p>
        </w:tc>
        <w:tc>
          <w:tcPr>
            <w:tcW w:w="950" w:type="dxa"/>
            <w:shd w:val="clear" w:color="auto" w:fill="auto"/>
            <w:vAlign w:val="center"/>
          </w:tcPr>
          <w:p>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150.27</w:t>
            </w:r>
          </w:p>
        </w:tc>
        <w:tc>
          <w:tcPr>
            <w:tcW w:w="720" w:type="dxa"/>
            <w:shd w:val="clear" w:color="auto" w:fill="auto"/>
            <w:vAlign w:val="center"/>
          </w:tcPr>
          <w:p>
            <w:pPr>
              <w:jc w:val="right"/>
              <w:rPr>
                <w:rFonts w:hint="eastAsia" w:ascii="仿宋_GB2312" w:hAnsi="宋体" w:eastAsia="仿宋_GB2312" w:cs="宋体"/>
                <w:b/>
                <w:sz w:val="18"/>
                <w:szCs w:val="18"/>
              </w:rPr>
            </w:pPr>
          </w:p>
        </w:tc>
        <w:tc>
          <w:tcPr>
            <w:tcW w:w="820" w:type="dxa"/>
            <w:shd w:val="clear" w:color="auto" w:fill="auto"/>
            <w:vAlign w:val="center"/>
          </w:tcPr>
          <w:p>
            <w:pPr>
              <w:jc w:val="right"/>
              <w:rPr>
                <w:rFonts w:hint="eastAsia" w:ascii="仿宋_GB2312" w:hAnsi="宋体" w:eastAsia="仿宋_GB2312" w:cs="宋体"/>
                <w:b/>
                <w:sz w:val="18"/>
                <w:szCs w:val="18"/>
              </w:rPr>
            </w:pPr>
          </w:p>
        </w:tc>
        <w:tc>
          <w:tcPr>
            <w:tcW w:w="670" w:type="dxa"/>
            <w:shd w:val="clear" w:color="auto" w:fill="auto"/>
            <w:vAlign w:val="center"/>
          </w:tcPr>
          <w:p>
            <w:pPr>
              <w:jc w:val="right"/>
              <w:rPr>
                <w:rFonts w:hint="eastAsia" w:ascii="仿宋_GB2312" w:hAnsi="宋体" w:eastAsia="仿宋_GB2312" w:cs="宋体"/>
                <w:b/>
                <w:sz w:val="18"/>
                <w:szCs w:val="18"/>
              </w:rPr>
            </w:pPr>
          </w:p>
        </w:tc>
        <w:tc>
          <w:tcPr>
            <w:tcW w:w="710" w:type="dxa"/>
            <w:shd w:val="clear" w:color="auto" w:fill="auto"/>
            <w:vAlign w:val="center"/>
          </w:tcPr>
          <w:p>
            <w:pPr>
              <w:jc w:val="right"/>
              <w:rPr>
                <w:rFonts w:hint="eastAsia" w:ascii="仿宋_GB2312" w:hAnsi="宋体" w:eastAsia="仿宋_GB2312" w:cs="宋体"/>
                <w:b/>
                <w:sz w:val="18"/>
                <w:szCs w:val="18"/>
              </w:rPr>
            </w:pPr>
          </w:p>
        </w:tc>
        <w:tc>
          <w:tcPr>
            <w:tcW w:w="700" w:type="dxa"/>
            <w:shd w:val="clear" w:color="auto" w:fill="auto"/>
            <w:vAlign w:val="center"/>
          </w:tcPr>
          <w:p>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73.43</w:t>
            </w:r>
          </w:p>
        </w:tc>
        <w:tc>
          <w:tcPr>
            <w:tcW w:w="710" w:type="dxa"/>
            <w:shd w:val="clear" w:color="auto" w:fill="auto"/>
            <w:vAlign w:val="center"/>
          </w:tcPr>
          <w:p>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76.84</w:t>
            </w:r>
          </w:p>
        </w:tc>
        <w:tc>
          <w:tcPr>
            <w:tcW w:w="790" w:type="dxa"/>
            <w:shd w:val="clear" w:color="auto" w:fill="auto"/>
            <w:vAlign w:val="center"/>
          </w:tcPr>
          <w:p>
            <w:pPr>
              <w:jc w:val="right"/>
              <w:rPr>
                <w:rFonts w:hint="eastAsia" w:ascii="仿宋_GB2312" w:hAnsi="宋体" w:eastAsia="仿宋_GB2312" w:cs="宋体"/>
                <w:b/>
                <w:sz w:val="18"/>
                <w:szCs w:val="18"/>
              </w:rPr>
            </w:pPr>
          </w:p>
        </w:tc>
        <w:tc>
          <w:tcPr>
            <w:tcW w:w="640" w:type="dxa"/>
            <w:shd w:val="clear" w:color="auto" w:fill="auto"/>
            <w:vAlign w:val="center"/>
          </w:tcPr>
          <w:p>
            <w:pPr>
              <w:jc w:val="right"/>
              <w:rPr>
                <w:rFonts w:hint="eastAsia" w:ascii="仿宋_GB2312" w:hAnsi="宋体" w:eastAsia="仿宋_GB2312" w:cs="宋体"/>
                <w:b/>
                <w:sz w:val="18"/>
                <w:szCs w:val="18"/>
              </w:rPr>
            </w:pPr>
          </w:p>
        </w:tc>
        <w:tc>
          <w:tcPr>
            <w:tcW w:w="700" w:type="dxa"/>
            <w:shd w:val="clear" w:color="auto" w:fill="auto"/>
            <w:vAlign w:val="center"/>
          </w:tcPr>
          <w:p>
            <w:pPr>
              <w:jc w:val="right"/>
              <w:rPr>
                <w:rFonts w:hint="eastAsia" w:ascii="仿宋_GB2312" w:hAnsi="宋体" w:eastAsia="仿宋_GB2312" w:cs="宋体"/>
                <w:b/>
                <w:sz w:val="18"/>
                <w:szCs w:val="18"/>
              </w:rPr>
            </w:pPr>
          </w:p>
        </w:tc>
        <w:tc>
          <w:tcPr>
            <w:tcW w:w="620" w:type="dxa"/>
            <w:shd w:val="clear" w:color="auto" w:fill="auto"/>
            <w:vAlign w:val="center"/>
          </w:tcPr>
          <w:p>
            <w:pPr>
              <w:jc w:val="right"/>
              <w:rPr>
                <w:rFonts w:hint="eastAsia" w:ascii="仿宋_GB2312" w:hAnsi="宋体" w:eastAsia="仿宋_GB2312"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w:t>
            </w:r>
            <w:r>
              <w:rPr>
                <w:rFonts w:hint="eastAsia" w:ascii="仿宋_GB2312" w:hAnsi="宋体" w:eastAsia="仿宋_GB2312" w:cs="宋体"/>
                <w:kern w:val="0"/>
                <w:sz w:val="18"/>
                <w:szCs w:val="18"/>
                <w:lang w:eastAsia="zh-CN"/>
              </w:rPr>
              <w:t>巩固拓展脱贫攻坚成果</w:t>
            </w:r>
            <w:r>
              <w:rPr>
                <w:rFonts w:hint="eastAsia" w:ascii="仿宋_GB2312" w:hAnsi="宋体" w:eastAsia="仿宋_GB2312" w:cs="宋体"/>
                <w:kern w:val="0"/>
                <w:sz w:val="18"/>
                <w:szCs w:val="18"/>
              </w:rPr>
              <w:t>衔接乡村振兴支出</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墨玉县英也尔乡加纳尼村等5个村村防渗渠建设2024年以工代赈推广工程</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3.14</w:t>
            </w:r>
          </w:p>
        </w:tc>
        <w:tc>
          <w:tcPr>
            <w:tcW w:w="720" w:type="dxa"/>
            <w:shd w:val="clear" w:color="auto" w:fill="auto"/>
            <w:vAlign w:val="center"/>
          </w:tcPr>
          <w:p>
            <w:pPr>
              <w:jc w:val="right"/>
              <w:rPr>
                <w:rFonts w:hint="eastAsia" w:ascii="仿宋_GB2312" w:hAnsi="宋体" w:eastAsia="仿宋_GB2312" w:cs="宋体"/>
                <w:sz w:val="18"/>
                <w:szCs w:val="18"/>
              </w:rPr>
            </w:pPr>
          </w:p>
        </w:tc>
        <w:tc>
          <w:tcPr>
            <w:tcW w:w="820" w:type="dxa"/>
            <w:shd w:val="clear" w:color="auto" w:fill="auto"/>
            <w:vAlign w:val="center"/>
          </w:tcPr>
          <w:p>
            <w:pPr>
              <w:jc w:val="right"/>
              <w:rPr>
                <w:rFonts w:hint="eastAsia" w:ascii="仿宋_GB2312" w:hAnsi="宋体" w:eastAsia="仿宋_GB2312" w:cs="宋体"/>
                <w:sz w:val="18"/>
                <w:szCs w:val="18"/>
              </w:rPr>
            </w:pP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3.14</w:t>
            </w: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w:t>
            </w:r>
            <w:r>
              <w:rPr>
                <w:rFonts w:hint="eastAsia" w:ascii="仿宋_GB2312" w:hAnsi="宋体" w:eastAsia="仿宋_GB2312" w:cs="宋体"/>
                <w:kern w:val="0"/>
                <w:sz w:val="18"/>
                <w:szCs w:val="18"/>
                <w:lang w:eastAsia="zh-CN"/>
              </w:rPr>
              <w:t>巩固拓展脱贫攻坚成果</w:t>
            </w:r>
            <w:r>
              <w:rPr>
                <w:rFonts w:hint="eastAsia" w:ascii="仿宋_GB2312" w:hAnsi="宋体" w:eastAsia="仿宋_GB2312" w:cs="宋体"/>
                <w:kern w:val="0"/>
                <w:sz w:val="18"/>
                <w:szCs w:val="18"/>
              </w:rPr>
              <w:t>衔接乡村振兴支出</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墨玉县英也尔乡英也尔村度库鲁克村防渗渠2024年以工代赈工程</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3.80</w:t>
            </w:r>
          </w:p>
        </w:tc>
        <w:tc>
          <w:tcPr>
            <w:tcW w:w="720" w:type="dxa"/>
            <w:shd w:val="clear" w:color="auto" w:fill="auto"/>
            <w:vAlign w:val="center"/>
          </w:tcPr>
          <w:p>
            <w:pPr>
              <w:jc w:val="right"/>
              <w:rPr>
                <w:rFonts w:hint="eastAsia" w:ascii="仿宋_GB2312" w:hAnsi="宋体" w:eastAsia="仿宋_GB2312" w:cs="宋体"/>
                <w:sz w:val="18"/>
                <w:szCs w:val="18"/>
              </w:rPr>
            </w:pPr>
          </w:p>
        </w:tc>
        <w:tc>
          <w:tcPr>
            <w:tcW w:w="820" w:type="dxa"/>
            <w:shd w:val="clear" w:color="auto" w:fill="auto"/>
            <w:vAlign w:val="center"/>
          </w:tcPr>
          <w:p>
            <w:pPr>
              <w:jc w:val="right"/>
              <w:rPr>
                <w:rFonts w:hint="eastAsia" w:ascii="仿宋_GB2312" w:hAnsi="宋体" w:eastAsia="仿宋_GB2312" w:cs="宋体"/>
                <w:sz w:val="18"/>
                <w:szCs w:val="18"/>
              </w:rPr>
            </w:pP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3.80</w:t>
            </w: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w:t>
            </w:r>
            <w:r>
              <w:rPr>
                <w:rFonts w:hint="eastAsia" w:ascii="仿宋_GB2312" w:hAnsi="宋体" w:eastAsia="仿宋_GB2312" w:cs="宋体"/>
                <w:kern w:val="0"/>
                <w:sz w:val="18"/>
                <w:szCs w:val="18"/>
                <w:lang w:eastAsia="zh-CN"/>
              </w:rPr>
              <w:t>巩固拓展脱贫攻坚成果</w:t>
            </w:r>
            <w:r>
              <w:rPr>
                <w:rFonts w:hint="eastAsia" w:ascii="仿宋_GB2312" w:hAnsi="宋体" w:eastAsia="仿宋_GB2312" w:cs="宋体"/>
                <w:kern w:val="0"/>
                <w:sz w:val="18"/>
                <w:szCs w:val="18"/>
              </w:rPr>
              <w:t>衔接乡村振兴支出</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墨玉县英也尔乡群众治沙点位电力套工程项目</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25.73</w:t>
            </w:r>
          </w:p>
        </w:tc>
        <w:tc>
          <w:tcPr>
            <w:tcW w:w="720" w:type="dxa"/>
            <w:shd w:val="clear" w:color="auto" w:fill="auto"/>
            <w:vAlign w:val="center"/>
          </w:tcPr>
          <w:p>
            <w:pPr>
              <w:jc w:val="right"/>
              <w:rPr>
                <w:rFonts w:hint="eastAsia" w:ascii="仿宋_GB2312" w:hAnsi="宋体" w:eastAsia="仿宋_GB2312" w:cs="宋体"/>
                <w:sz w:val="18"/>
                <w:szCs w:val="18"/>
              </w:rPr>
            </w:pPr>
          </w:p>
        </w:tc>
        <w:tc>
          <w:tcPr>
            <w:tcW w:w="820" w:type="dxa"/>
            <w:shd w:val="clear" w:color="auto" w:fill="auto"/>
            <w:vAlign w:val="center"/>
          </w:tcPr>
          <w:p>
            <w:pPr>
              <w:jc w:val="right"/>
              <w:rPr>
                <w:rFonts w:hint="eastAsia" w:ascii="仿宋_GB2312" w:hAnsi="宋体" w:eastAsia="仿宋_GB2312" w:cs="宋体"/>
                <w:sz w:val="18"/>
                <w:szCs w:val="18"/>
              </w:rPr>
            </w:pP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25.73</w:t>
            </w: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w:t>
            </w:r>
            <w:r>
              <w:rPr>
                <w:rFonts w:hint="eastAsia" w:ascii="仿宋_GB2312" w:hAnsi="宋体" w:eastAsia="仿宋_GB2312" w:cs="宋体"/>
                <w:kern w:val="0"/>
                <w:sz w:val="18"/>
                <w:szCs w:val="18"/>
                <w:lang w:eastAsia="zh-CN"/>
              </w:rPr>
              <w:t>巩固拓展脱贫攻坚成果</w:t>
            </w:r>
            <w:r>
              <w:rPr>
                <w:rFonts w:hint="eastAsia" w:ascii="仿宋_GB2312" w:hAnsi="宋体" w:eastAsia="仿宋_GB2312" w:cs="宋体"/>
                <w:kern w:val="0"/>
                <w:sz w:val="18"/>
                <w:szCs w:val="18"/>
              </w:rPr>
              <w:t>衔接乡村振兴支出</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墨玉县英也尔乡英也尔村、苏库鲁克村防渗渠2024年以工代赈工程</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38.03</w:t>
            </w:r>
          </w:p>
        </w:tc>
        <w:tc>
          <w:tcPr>
            <w:tcW w:w="720" w:type="dxa"/>
            <w:shd w:val="clear" w:color="auto" w:fill="auto"/>
            <w:vAlign w:val="center"/>
          </w:tcPr>
          <w:p>
            <w:pPr>
              <w:jc w:val="right"/>
              <w:rPr>
                <w:rFonts w:hint="eastAsia" w:ascii="仿宋_GB2312" w:hAnsi="宋体" w:eastAsia="仿宋_GB2312" w:cs="宋体"/>
                <w:sz w:val="18"/>
                <w:szCs w:val="18"/>
              </w:rPr>
            </w:pPr>
          </w:p>
        </w:tc>
        <w:tc>
          <w:tcPr>
            <w:tcW w:w="820" w:type="dxa"/>
            <w:shd w:val="clear" w:color="auto" w:fill="auto"/>
            <w:vAlign w:val="center"/>
          </w:tcPr>
          <w:p>
            <w:pPr>
              <w:jc w:val="right"/>
              <w:rPr>
                <w:rFonts w:hint="eastAsia" w:ascii="仿宋_GB2312" w:hAnsi="宋体" w:eastAsia="仿宋_GB2312" w:cs="宋体"/>
                <w:sz w:val="18"/>
                <w:szCs w:val="18"/>
              </w:rPr>
            </w:pP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38.03</w:t>
            </w: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w:t>
            </w:r>
            <w:r>
              <w:rPr>
                <w:rFonts w:hint="eastAsia" w:ascii="仿宋_GB2312" w:hAnsi="宋体" w:eastAsia="仿宋_GB2312" w:cs="宋体"/>
                <w:kern w:val="0"/>
                <w:sz w:val="18"/>
                <w:szCs w:val="18"/>
                <w:lang w:eastAsia="zh-CN"/>
              </w:rPr>
              <w:t>巩固拓展脱贫攻坚成果</w:t>
            </w:r>
            <w:r>
              <w:rPr>
                <w:rFonts w:hint="eastAsia" w:ascii="仿宋_GB2312" w:hAnsi="宋体" w:eastAsia="仿宋_GB2312" w:cs="宋体"/>
                <w:kern w:val="0"/>
                <w:sz w:val="18"/>
                <w:szCs w:val="18"/>
              </w:rPr>
              <w:t>衔接乡村振兴支出</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墨玉县英也尔乡加纳尼村等5个村防渗渠建设以工代赈工程</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38.81</w:t>
            </w:r>
          </w:p>
        </w:tc>
        <w:tc>
          <w:tcPr>
            <w:tcW w:w="720" w:type="dxa"/>
            <w:shd w:val="clear" w:color="auto" w:fill="auto"/>
            <w:vAlign w:val="center"/>
          </w:tcPr>
          <w:p>
            <w:pPr>
              <w:jc w:val="right"/>
              <w:rPr>
                <w:rFonts w:hint="eastAsia" w:ascii="仿宋_GB2312" w:hAnsi="宋体" w:eastAsia="仿宋_GB2312" w:cs="宋体"/>
                <w:sz w:val="18"/>
                <w:szCs w:val="18"/>
              </w:rPr>
            </w:pPr>
          </w:p>
        </w:tc>
        <w:tc>
          <w:tcPr>
            <w:tcW w:w="820" w:type="dxa"/>
            <w:shd w:val="clear" w:color="auto" w:fill="auto"/>
            <w:vAlign w:val="center"/>
          </w:tcPr>
          <w:p>
            <w:pPr>
              <w:jc w:val="right"/>
              <w:rPr>
                <w:rFonts w:hint="eastAsia" w:ascii="仿宋_GB2312" w:hAnsi="宋体" w:eastAsia="仿宋_GB2312" w:cs="宋体"/>
                <w:sz w:val="18"/>
                <w:szCs w:val="18"/>
              </w:rPr>
            </w:pP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38.81</w:t>
            </w: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w:t>
            </w:r>
            <w:r>
              <w:rPr>
                <w:rFonts w:hint="eastAsia" w:ascii="仿宋_GB2312" w:hAnsi="宋体" w:eastAsia="仿宋_GB2312" w:cs="宋体"/>
                <w:kern w:val="0"/>
                <w:sz w:val="18"/>
                <w:szCs w:val="18"/>
                <w:lang w:eastAsia="zh-CN"/>
              </w:rPr>
              <w:t>巩固拓展脱贫攻坚成果</w:t>
            </w:r>
            <w:r>
              <w:rPr>
                <w:rFonts w:hint="eastAsia" w:ascii="仿宋_GB2312" w:hAnsi="宋体" w:eastAsia="仿宋_GB2312" w:cs="宋体"/>
                <w:kern w:val="0"/>
                <w:sz w:val="18"/>
                <w:szCs w:val="18"/>
              </w:rPr>
              <w:t>衔接乡村振兴支出</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墨玉县英也尔乡群众治沙点道路配套工程项目</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40.76</w:t>
            </w:r>
          </w:p>
        </w:tc>
        <w:tc>
          <w:tcPr>
            <w:tcW w:w="720" w:type="dxa"/>
            <w:shd w:val="clear" w:color="auto" w:fill="auto"/>
            <w:vAlign w:val="center"/>
          </w:tcPr>
          <w:p>
            <w:pPr>
              <w:jc w:val="right"/>
              <w:rPr>
                <w:rFonts w:hint="eastAsia" w:ascii="仿宋_GB2312" w:hAnsi="宋体" w:eastAsia="仿宋_GB2312" w:cs="宋体"/>
                <w:sz w:val="18"/>
                <w:szCs w:val="18"/>
              </w:rPr>
            </w:pPr>
          </w:p>
        </w:tc>
        <w:tc>
          <w:tcPr>
            <w:tcW w:w="820" w:type="dxa"/>
            <w:shd w:val="clear" w:color="auto" w:fill="auto"/>
            <w:vAlign w:val="center"/>
          </w:tcPr>
          <w:p>
            <w:pPr>
              <w:jc w:val="right"/>
              <w:rPr>
                <w:rFonts w:hint="eastAsia" w:ascii="仿宋_GB2312" w:hAnsi="宋体" w:eastAsia="仿宋_GB2312" w:cs="宋体"/>
                <w:sz w:val="18"/>
                <w:szCs w:val="18"/>
              </w:rPr>
            </w:pP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40.76</w:t>
            </w: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07</w:t>
            </w:r>
          </w:p>
        </w:tc>
        <w:tc>
          <w:tcPr>
            <w:tcW w:w="567" w:type="dxa"/>
            <w:shd w:val="clear" w:color="auto" w:fill="auto"/>
            <w:vAlign w:val="center"/>
          </w:tcPr>
          <w:p>
            <w:pPr>
              <w:jc w:val="center"/>
              <w:rPr>
                <w:rFonts w:hint="eastAsia" w:ascii="仿宋_GB2312" w:hAnsi="宋体" w:eastAsia="仿宋_GB2312" w:cs="宋体"/>
                <w:b/>
                <w:sz w:val="18"/>
                <w:szCs w:val="18"/>
              </w:rPr>
            </w:pPr>
          </w:p>
        </w:tc>
        <w:tc>
          <w:tcPr>
            <w:tcW w:w="2321" w:type="dxa"/>
            <w:shd w:val="clear" w:color="auto" w:fill="auto"/>
            <w:vAlign w:val="center"/>
          </w:tcPr>
          <w:p>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农村综合改革</w:t>
            </w:r>
          </w:p>
        </w:tc>
        <w:tc>
          <w:tcPr>
            <w:tcW w:w="2170" w:type="dxa"/>
            <w:shd w:val="clear" w:color="auto" w:fill="auto"/>
            <w:vAlign w:val="center"/>
          </w:tcPr>
          <w:p>
            <w:pPr>
              <w:jc w:val="left"/>
              <w:rPr>
                <w:rFonts w:hint="eastAsia" w:ascii="仿宋_GB2312" w:hAnsi="宋体" w:eastAsia="仿宋_GB2312" w:cs="宋体"/>
                <w:b/>
                <w:sz w:val="18"/>
                <w:szCs w:val="18"/>
              </w:rPr>
            </w:pPr>
          </w:p>
        </w:tc>
        <w:tc>
          <w:tcPr>
            <w:tcW w:w="950" w:type="dxa"/>
            <w:shd w:val="clear" w:color="auto" w:fill="auto"/>
            <w:vAlign w:val="center"/>
          </w:tcPr>
          <w:p>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96.30</w:t>
            </w:r>
          </w:p>
        </w:tc>
        <w:tc>
          <w:tcPr>
            <w:tcW w:w="720" w:type="dxa"/>
            <w:shd w:val="clear" w:color="auto" w:fill="auto"/>
            <w:vAlign w:val="center"/>
          </w:tcPr>
          <w:p>
            <w:pPr>
              <w:jc w:val="right"/>
              <w:rPr>
                <w:rFonts w:hint="eastAsia" w:ascii="仿宋_GB2312" w:hAnsi="宋体" w:eastAsia="仿宋_GB2312" w:cs="宋体"/>
                <w:b/>
                <w:sz w:val="18"/>
                <w:szCs w:val="18"/>
              </w:rPr>
            </w:pPr>
          </w:p>
        </w:tc>
        <w:tc>
          <w:tcPr>
            <w:tcW w:w="820" w:type="dxa"/>
            <w:shd w:val="clear" w:color="auto" w:fill="auto"/>
            <w:vAlign w:val="center"/>
          </w:tcPr>
          <w:p>
            <w:pPr>
              <w:jc w:val="right"/>
              <w:rPr>
                <w:rFonts w:hint="eastAsia" w:ascii="仿宋_GB2312" w:hAnsi="宋体" w:eastAsia="仿宋_GB2312" w:cs="宋体"/>
                <w:b/>
                <w:sz w:val="18"/>
                <w:szCs w:val="18"/>
              </w:rPr>
            </w:pPr>
          </w:p>
        </w:tc>
        <w:tc>
          <w:tcPr>
            <w:tcW w:w="670" w:type="dxa"/>
            <w:shd w:val="clear" w:color="auto" w:fill="auto"/>
            <w:vAlign w:val="center"/>
          </w:tcPr>
          <w:p>
            <w:pPr>
              <w:jc w:val="right"/>
              <w:rPr>
                <w:rFonts w:hint="eastAsia" w:ascii="仿宋_GB2312" w:hAnsi="宋体" w:eastAsia="仿宋_GB2312" w:cs="宋体"/>
                <w:b/>
                <w:sz w:val="18"/>
                <w:szCs w:val="18"/>
              </w:rPr>
            </w:pPr>
          </w:p>
        </w:tc>
        <w:tc>
          <w:tcPr>
            <w:tcW w:w="710" w:type="dxa"/>
            <w:shd w:val="clear" w:color="auto" w:fill="auto"/>
            <w:vAlign w:val="center"/>
          </w:tcPr>
          <w:p>
            <w:pPr>
              <w:jc w:val="right"/>
              <w:rPr>
                <w:rFonts w:hint="eastAsia" w:ascii="仿宋_GB2312" w:hAnsi="宋体" w:eastAsia="仿宋_GB2312" w:cs="宋体"/>
                <w:b/>
                <w:sz w:val="18"/>
                <w:szCs w:val="18"/>
              </w:rPr>
            </w:pPr>
          </w:p>
        </w:tc>
        <w:tc>
          <w:tcPr>
            <w:tcW w:w="700" w:type="dxa"/>
            <w:shd w:val="clear" w:color="auto" w:fill="auto"/>
            <w:vAlign w:val="center"/>
          </w:tcPr>
          <w:p>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96.30</w:t>
            </w:r>
          </w:p>
        </w:tc>
        <w:tc>
          <w:tcPr>
            <w:tcW w:w="710" w:type="dxa"/>
            <w:shd w:val="clear" w:color="auto" w:fill="auto"/>
            <w:vAlign w:val="center"/>
          </w:tcPr>
          <w:p>
            <w:pPr>
              <w:jc w:val="right"/>
              <w:rPr>
                <w:rFonts w:hint="eastAsia" w:ascii="仿宋_GB2312" w:hAnsi="宋体" w:eastAsia="仿宋_GB2312" w:cs="宋体"/>
                <w:b/>
                <w:sz w:val="18"/>
                <w:szCs w:val="18"/>
              </w:rPr>
            </w:pPr>
          </w:p>
        </w:tc>
        <w:tc>
          <w:tcPr>
            <w:tcW w:w="790" w:type="dxa"/>
            <w:shd w:val="clear" w:color="auto" w:fill="auto"/>
            <w:vAlign w:val="center"/>
          </w:tcPr>
          <w:p>
            <w:pPr>
              <w:jc w:val="right"/>
              <w:rPr>
                <w:rFonts w:hint="eastAsia" w:ascii="仿宋_GB2312" w:hAnsi="宋体" w:eastAsia="仿宋_GB2312" w:cs="宋体"/>
                <w:b/>
                <w:sz w:val="18"/>
                <w:szCs w:val="18"/>
              </w:rPr>
            </w:pPr>
          </w:p>
        </w:tc>
        <w:tc>
          <w:tcPr>
            <w:tcW w:w="640" w:type="dxa"/>
            <w:shd w:val="clear" w:color="auto" w:fill="auto"/>
            <w:vAlign w:val="center"/>
          </w:tcPr>
          <w:p>
            <w:pPr>
              <w:jc w:val="right"/>
              <w:rPr>
                <w:rFonts w:hint="eastAsia" w:ascii="仿宋_GB2312" w:hAnsi="宋体" w:eastAsia="仿宋_GB2312" w:cs="宋体"/>
                <w:b/>
                <w:sz w:val="18"/>
                <w:szCs w:val="18"/>
              </w:rPr>
            </w:pPr>
          </w:p>
        </w:tc>
        <w:tc>
          <w:tcPr>
            <w:tcW w:w="700" w:type="dxa"/>
            <w:shd w:val="clear" w:color="auto" w:fill="auto"/>
            <w:vAlign w:val="center"/>
          </w:tcPr>
          <w:p>
            <w:pPr>
              <w:jc w:val="right"/>
              <w:rPr>
                <w:rFonts w:hint="eastAsia" w:ascii="仿宋_GB2312" w:hAnsi="宋体" w:eastAsia="仿宋_GB2312" w:cs="宋体"/>
                <w:b/>
                <w:sz w:val="18"/>
                <w:szCs w:val="18"/>
              </w:rPr>
            </w:pPr>
          </w:p>
        </w:tc>
        <w:tc>
          <w:tcPr>
            <w:tcW w:w="620" w:type="dxa"/>
            <w:shd w:val="clear" w:color="auto" w:fill="auto"/>
            <w:vAlign w:val="center"/>
          </w:tcPr>
          <w:p>
            <w:pPr>
              <w:jc w:val="right"/>
              <w:rPr>
                <w:rFonts w:hint="eastAsia" w:ascii="仿宋_GB2312" w:hAnsi="宋体" w:eastAsia="仿宋_GB2312"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07</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对村级公益事业建设的补助</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墨玉县英也尔乡农机采购项目</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96.30</w:t>
            </w:r>
          </w:p>
        </w:tc>
        <w:tc>
          <w:tcPr>
            <w:tcW w:w="720" w:type="dxa"/>
            <w:shd w:val="clear" w:color="auto" w:fill="auto"/>
            <w:vAlign w:val="center"/>
          </w:tcPr>
          <w:p>
            <w:pPr>
              <w:jc w:val="right"/>
              <w:rPr>
                <w:rFonts w:hint="eastAsia" w:ascii="仿宋_GB2312" w:hAnsi="宋体" w:eastAsia="仿宋_GB2312" w:cs="宋体"/>
                <w:sz w:val="18"/>
                <w:szCs w:val="18"/>
              </w:rPr>
            </w:pPr>
          </w:p>
        </w:tc>
        <w:tc>
          <w:tcPr>
            <w:tcW w:w="820" w:type="dxa"/>
            <w:shd w:val="clear" w:color="auto" w:fill="auto"/>
            <w:vAlign w:val="center"/>
          </w:tcPr>
          <w:p>
            <w:pPr>
              <w:jc w:val="right"/>
              <w:rPr>
                <w:rFonts w:hint="eastAsia" w:ascii="仿宋_GB2312" w:hAnsi="宋体" w:eastAsia="仿宋_GB2312" w:cs="宋体"/>
                <w:sz w:val="18"/>
                <w:szCs w:val="18"/>
              </w:rPr>
            </w:pP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96.30</w:t>
            </w: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sz w:val="18"/>
                <w:szCs w:val="18"/>
              </w:rPr>
            </w:pPr>
          </w:p>
        </w:tc>
        <w:tc>
          <w:tcPr>
            <w:tcW w:w="567" w:type="dxa"/>
            <w:shd w:val="clear" w:color="auto" w:fill="auto"/>
            <w:vAlign w:val="center"/>
          </w:tcPr>
          <w:p>
            <w:pPr>
              <w:jc w:val="center"/>
              <w:rPr>
                <w:rFonts w:hint="eastAsia" w:ascii="仿宋_GB2312" w:hAnsi="宋体" w:eastAsia="仿宋_GB2312" w:cs="宋体"/>
                <w:b/>
                <w:sz w:val="18"/>
                <w:szCs w:val="18"/>
              </w:rPr>
            </w:pPr>
          </w:p>
        </w:tc>
        <w:tc>
          <w:tcPr>
            <w:tcW w:w="567" w:type="dxa"/>
            <w:shd w:val="clear" w:color="auto" w:fill="auto"/>
            <w:vAlign w:val="center"/>
          </w:tcPr>
          <w:p>
            <w:pPr>
              <w:jc w:val="center"/>
              <w:rPr>
                <w:rFonts w:hint="eastAsia" w:ascii="仿宋_GB2312" w:hAnsi="宋体" w:eastAsia="仿宋_GB2312" w:cs="宋体"/>
                <w:b/>
                <w:sz w:val="18"/>
                <w:szCs w:val="18"/>
              </w:rPr>
            </w:pPr>
          </w:p>
        </w:tc>
        <w:tc>
          <w:tcPr>
            <w:tcW w:w="2321" w:type="dxa"/>
            <w:shd w:val="clear" w:color="auto" w:fill="auto"/>
            <w:vAlign w:val="center"/>
          </w:tcPr>
          <w:p>
            <w:pPr>
              <w:jc w:val="left"/>
              <w:rPr>
                <w:rFonts w:hint="eastAsia" w:ascii="仿宋_GB2312" w:hAnsi="宋体" w:eastAsia="仿宋_GB2312" w:cs="宋体"/>
                <w:b/>
                <w:sz w:val="18"/>
                <w:szCs w:val="18"/>
              </w:rPr>
            </w:pPr>
          </w:p>
        </w:tc>
        <w:tc>
          <w:tcPr>
            <w:tcW w:w="2170" w:type="dxa"/>
            <w:shd w:val="clear" w:color="auto" w:fill="auto"/>
            <w:vAlign w:val="center"/>
          </w:tcPr>
          <w:p>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合 计</w:t>
            </w:r>
          </w:p>
        </w:tc>
        <w:tc>
          <w:tcPr>
            <w:tcW w:w="950" w:type="dxa"/>
            <w:shd w:val="clear" w:color="auto" w:fill="auto"/>
            <w:vAlign w:val="center"/>
          </w:tcPr>
          <w:p>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246.57</w:t>
            </w:r>
          </w:p>
        </w:tc>
        <w:tc>
          <w:tcPr>
            <w:tcW w:w="720" w:type="dxa"/>
            <w:shd w:val="clear" w:color="auto" w:fill="auto"/>
            <w:vAlign w:val="center"/>
          </w:tcPr>
          <w:p>
            <w:pPr>
              <w:jc w:val="right"/>
              <w:rPr>
                <w:rFonts w:hint="eastAsia" w:ascii="仿宋_GB2312" w:hAnsi="宋体" w:eastAsia="仿宋_GB2312" w:cs="宋体"/>
                <w:b/>
                <w:sz w:val="18"/>
                <w:szCs w:val="18"/>
              </w:rPr>
            </w:pPr>
          </w:p>
        </w:tc>
        <w:tc>
          <w:tcPr>
            <w:tcW w:w="820" w:type="dxa"/>
            <w:shd w:val="clear" w:color="auto" w:fill="auto"/>
            <w:vAlign w:val="center"/>
          </w:tcPr>
          <w:p>
            <w:pPr>
              <w:jc w:val="right"/>
              <w:rPr>
                <w:rFonts w:hint="eastAsia" w:ascii="仿宋_GB2312" w:hAnsi="宋体" w:eastAsia="仿宋_GB2312" w:cs="宋体"/>
                <w:b/>
                <w:sz w:val="18"/>
                <w:szCs w:val="18"/>
              </w:rPr>
            </w:pPr>
          </w:p>
        </w:tc>
        <w:tc>
          <w:tcPr>
            <w:tcW w:w="670" w:type="dxa"/>
            <w:shd w:val="clear" w:color="auto" w:fill="auto"/>
            <w:vAlign w:val="center"/>
          </w:tcPr>
          <w:p>
            <w:pPr>
              <w:jc w:val="right"/>
              <w:rPr>
                <w:rFonts w:hint="eastAsia" w:ascii="仿宋_GB2312" w:hAnsi="宋体" w:eastAsia="仿宋_GB2312" w:cs="宋体"/>
                <w:b/>
                <w:sz w:val="18"/>
                <w:szCs w:val="18"/>
              </w:rPr>
            </w:pPr>
          </w:p>
        </w:tc>
        <w:tc>
          <w:tcPr>
            <w:tcW w:w="710" w:type="dxa"/>
            <w:shd w:val="clear" w:color="auto" w:fill="auto"/>
            <w:vAlign w:val="center"/>
          </w:tcPr>
          <w:p>
            <w:pPr>
              <w:jc w:val="right"/>
              <w:rPr>
                <w:rFonts w:hint="eastAsia" w:ascii="仿宋_GB2312" w:hAnsi="宋体" w:eastAsia="仿宋_GB2312" w:cs="宋体"/>
                <w:b/>
                <w:sz w:val="18"/>
                <w:szCs w:val="18"/>
              </w:rPr>
            </w:pPr>
          </w:p>
        </w:tc>
        <w:tc>
          <w:tcPr>
            <w:tcW w:w="700" w:type="dxa"/>
            <w:shd w:val="clear" w:color="auto" w:fill="auto"/>
            <w:vAlign w:val="center"/>
          </w:tcPr>
          <w:p>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169.73</w:t>
            </w:r>
          </w:p>
        </w:tc>
        <w:tc>
          <w:tcPr>
            <w:tcW w:w="710" w:type="dxa"/>
            <w:shd w:val="clear" w:color="auto" w:fill="auto"/>
            <w:vAlign w:val="center"/>
          </w:tcPr>
          <w:p>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76.84</w:t>
            </w:r>
          </w:p>
        </w:tc>
        <w:tc>
          <w:tcPr>
            <w:tcW w:w="790" w:type="dxa"/>
            <w:shd w:val="clear" w:color="auto" w:fill="auto"/>
            <w:vAlign w:val="center"/>
          </w:tcPr>
          <w:p>
            <w:pPr>
              <w:jc w:val="right"/>
              <w:rPr>
                <w:rFonts w:hint="eastAsia" w:ascii="仿宋_GB2312" w:hAnsi="宋体" w:eastAsia="仿宋_GB2312" w:cs="宋体"/>
                <w:b/>
                <w:sz w:val="18"/>
                <w:szCs w:val="18"/>
              </w:rPr>
            </w:pPr>
          </w:p>
        </w:tc>
        <w:tc>
          <w:tcPr>
            <w:tcW w:w="640" w:type="dxa"/>
            <w:shd w:val="clear" w:color="auto" w:fill="auto"/>
            <w:vAlign w:val="center"/>
          </w:tcPr>
          <w:p>
            <w:pPr>
              <w:jc w:val="right"/>
              <w:rPr>
                <w:rFonts w:hint="eastAsia" w:ascii="仿宋_GB2312" w:hAnsi="宋体" w:eastAsia="仿宋_GB2312" w:cs="宋体"/>
                <w:b/>
                <w:sz w:val="18"/>
                <w:szCs w:val="18"/>
              </w:rPr>
            </w:pPr>
          </w:p>
        </w:tc>
        <w:tc>
          <w:tcPr>
            <w:tcW w:w="700" w:type="dxa"/>
            <w:shd w:val="clear" w:color="auto" w:fill="auto"/>
            <w:vAlign w:val="center"/>
          </w:tcPr>
          <w:p>
            <w:pPr>
              <w:jc w:val="right"/>
              <w:rPr>
                <w:rFonts w:hint="eastAsia" w:ascii="仿宋_GB2312" w:hAnsi="宋体" w:eastAsia="仿宋_GB2312" w:cs="宋体"/>
                <w:b/>
                <w:sz w:val="18"/>
                <w:szCs w:val="18"/>
              </w:rPr>
            </w:pPr>
          </w:p>
        </w:tc>
        <w:tc>
          <w:tcPr>
            <w:tcW w:w="620" w:type="dxa"/>
            <w:shd w:val="clear" w:color="auto" w:fill="auto"/>
            <w:vAlign w:val="center"/>
          </w:tcPr>
          <w:p>
            <w:pPr>
              <w:jc w:val="right"/>
              <w:rPr>
                <w:rFonts w:hint="eastAsia" w:ascii="仿宋_GB2312" w:hAnsi="宋体" w:eastAsia="仿宋_GB2312" w:cs="宋体"/>
                <w:b/>
                <w:sz w:val="18"/>
                <w:szCs w:val="18"/>
              </w:rPr>
            </w:pPr>
          </w:p>
        </w:tc>
      </w:tr>
    </w:tbl>
    <w:p>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pPr>
        <w:widowControl/>
        <w:jc w:val="left"/>
        <w:outlineLvl w:val="1"/>
        <w:rPr>
          <w:rFonts w:ascii="仿宋_GB2312" w:hAnsi="宋体" w:eastAsia="仿宋_GB2312"/>
          <w:b/>
          <w:kern w:val="0"/>
          <w:sz w:val="32"/>
          <w:szCs w:val="32"/>
        </w:rPr>
      </w:pPr>
      <w:r>
        <w:rPr>
          <w:rFonts w:hint="eastAsia" w:ascii="宋体" w:hAnsi="宋体" w:eastAsia="宋体" w:cs="宋体"/>
          <w:kern w:val="0"/>
          <w:sz w:val="20"/>
          <w:szCs w:val="20"/>
        </w:rPr>
        <w:t>表8</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3"/>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80"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编制单位：墨玉县英也尔乡人民政府</w:t>
            </w:r>
          </w:p>
        </w:tc>
        <w:tc>
          <w:tcPr>
            <w:tcW w:w="1318"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414" w:type="dxa"/>
        <w:tblInd w:w="93" w:type="dxa"/>
        <w:tblLayout w:type="fixed"/>
        <w:tblCellMar>
          <w:top w:w="0" w:type="dxa"/>
          <w:left w:w="108" w:type="dxa"/>
          <w:bottom w:w="0" w:type="dxa"/>
          <w:right w:w="108" w:type="dxa"/>
        </w:tblCellMar>
      </w:tblPr>
      <w:tblGrid>
        <w:gridCol w:w="585"/>
        <w:gridCol w:w="457"/>
        <w:gridCol w:w="457"/>
        <w:gridCol w:w="2896"/>
        <w:gridCol w:w="1659"/>
        <w:gridCol w:w="850"/>
        <w:gridCol w:w="851"/>
        <w:gridCol w:w="1659"/>
      </w:tblGrid>
      <w:tr>
        <w:tblPrEx>
          <w:tblLayout w:type="fixed"/>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5019" w:type="dxa"/>
            <w:gridSpan w:val="4"/>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tblPrEx>
          <w:tblLayout w:type="fixed"/>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659"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659"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tblPrEx>
          <w:tblLayout w:type="fixed"/>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rPr>
            </w:pPr>
          </w:p>
        </w:tc>
        <w:tc>
          <w:tcPr>
            <w:tcW w:w="165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65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  计</w:t>
            </w: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bl>
    <w:p>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备注：墨玉县英也尔乡人民政府2025年无政府性基金预算安排的支出，政府性基金预算支出情况表为空表。</w:t>
      </w:r>
    </w:p>
    <w:p>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表9</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3"/>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80"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编制单位：墨玉县英也尔乡人民政府</w:t>
            </w:r>
          </w:p>
        </w:tc>
        <w:tc>
          <w:tcPr>
            <w:tcW w:w="1318"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414" w:type="dxa"/>
        <w:tblInd w:w="93" w:type="dxa"/>
        <w:tblLayout w:type="fixed"/>
        <w:tblCellMar>
          <w:top w:w="0" w:type="dxa"/>
          <w:left w:w="108" w:type="dxa"/>
          <w:bottom w:w="0" w:type="dxa"/>
          <w:right w:w="108" w:type="dxa"/>
        </w:tblCellMar>
      </w:tblPr>
      <w:tblGrid>
        <w:gridCol w:w="585"/>
        <w:gridCol w:w="457"/>
        <w:gridCol w:w="457"/>
        <w:gridCol w:w="2896"/>
        <w:gridCol w:w="1659"/>
        <w:gridCol w:w="850"/>
        <w:gridCol w:w="851"/>
        <w:gridCol w:w="1659"/>
      </w:tblGrid>
      <w:tr>
        <w:tblPrEx>
          <w:tblLayout w:type="fixed"/>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5019" w:type="dxa"/>
            <w:gridSpan w:val="4"/>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tblPrEx>
          <w:tblLayout w:type="fixed"/>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659"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659"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tblPrEx>
          <w:tblLayout w:type="fixed"/>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rPr>
            </w:pPr>
          </w:p>
        </w:tc>
        <w:tc>
          <w:tcPr>
            <w:tcW w:w="165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659"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000000"/>
                <w:kern w:val="0"/>
                <w:sz w:val="20"/>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  计</w:t>
            </w: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bl>
    <w:p>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备注：墨玉县英也尔乡人民政府2025年无国有资本经营预算安排的支出，国有资本经营预算支出情况表为空表。</w:t>
      </w:r>
    </w:p>
    <w:p>
      <w:pPr>
        <w:widowControl/>
        <w:jc w:val="left"/>
        <w:outlineLvl w:val="1"/>
        <w:rPr>
          <w:rFonts w:hint="eastAsia"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表10</w:t>
      </w:r>
    </w:p>
    <w:p>
      <w:pPr>
        <w:widowControl/>
        <w:jc w:val="left"/>
        <w:outlineLvl w:val="1"/>
        <w:rPr>
          <w:rFonts w:ascii="仿宋_GB2312" w:hAnsi="宋体" w:eastAsia="仿宋_GB2312"/>
          <w:b/>
          <w:kern w:val="0"/>
          <w:sz w:val="32"/>
          <w:szCs w:val="32"/>
        </w:rPr>
      </w:pPr>
    </w:p>
    <w:p>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pPr>
        <w:widowControl/>
        <w:jc w:val="center"/>
        <w:outlineLvl w:val="1"/>
        <w:rPr>
          <w:rFonts w:ascii="仿宋_GB2312" w:hAnsi="宋体" w:eastAsia="仿宋_GB2312"/>
          <w:b/>
          <w:kern w:val="0"/>
          <w:sz w:val="32"/>
          <w:szCs w:val="32"/>
        </w:rPr>
      </w:pPr>
    </w:p>
    <w:tbl>
      <w:tblPr>
        <w:tblStyle w:val="3"/>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4"/>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4"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编制单位：墨玉县英也尔乡人民政府</w:t>
            </w:r>
          </w:p>
        </w:tc>
        <w:tc>
          <w:tcPr>
            <w:tcW w:w="1312"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440" w:type="dxa"/>
        <w:tblInd w:w="93" w:type="dxa"/>
        <w:tblLayout w:type="fixed"/>
        <w:tblCellMar>
          <w:top w:w="0" w:type="dxa"/>
          <w:left w:w="108" w:type="dxa"/>
          <w:bottom w:w="0" w:type="dxa"/>
          <w:right w:w="108" w:type="dxa"/>
        </w:tblCellMar>
      </w:tblPr>
      <w:tblGrid>
        <w:gridCol w:w="3287"/>
        <w:gridCol w:w="1417"/>
        <w:gridCol w:w="1559"/>
        <w:gridCol w:w="1518"/>
        <w:gridCol w:w="1659"/>
      </w:tblGrid>
      <w:tr>
        <w:tblPrEx>
          <w:tblLayout w:type="fixed"/>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合计</w:t>
            </w:r>
          </w:p>
        </w:tc>
        <w:tc>
          <w:tcPr>
            <w:tcW w:w="4736" w:type="dxa"/>
            <w:gridSpan w:val="3"/>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资金来源</w:t>
            </w:r>
          </w:p>
        </w:tc>
      </w:tr>
      <w:tr>
        <w:tblPrEx>
          <w:tblLayout w:type="fixed"/>
          <w:tblCellMar>
            <w:top w:w="0" w:type="dxa"/>
            <w:left w:w="108" w:type="dxa"/>
            <w:bottom w:w="0" w:type="dxa"/>
            <w:right w:w="108" w:type="dxa"/>
          </w:tblCellMar>
        </w:tblPrEx>
        <w:trPr>
          <w:trHeight w:val="810" w:hRule="atLeast"/>
        </w:trPr>
        <w:tc>
          <w:tcPr>
            <w:tcW w:w="3287"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5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659"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tblPrEx>
          <w:tblLayout w:type="fixed"/>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10.50</w:t>
            </w:r>
          </w:p>
        </w:tc>
        <w:tc>
          <w:tcPr>
            <w:tcW w:w="15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10.50</w:t>
            </w:r>
          </w:p>
        </w:tc>
        <w:tc>
          <w:tcPr>
            <w:tcW w:w="1518"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r>
      <w:tr>
        <w:tblPrEx>
          <w:tblLayout w:type="fixed"/>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r>
      <w:tr>
        <w:tblPrEx>
          <w:tblLayout w:type="fixed"/>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r>
      <w:tr>
        <w:tblPrEx>
          <w:tblLayout w:type="fixed"/>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10.50</w:t>
            </w:r>
          </w:p>
        </w:tc>
        <w:tc>
          <w:tcPr>
            <w:tcW w:w="15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10.50</w:t>
            </w:r>
          </w:p>
        </w:tc>
        <w:tc>
          <w:tcPr>
            <w:tcW w:w="1518"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r>
      <w:tr>
        <w:tblPrEx>
          <w:tblLayout w:type="fixed"/>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r>
      <w:tr>
        <w:tblPrEx>
          <w:tblLayout w:type="fixed"/>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lang w:val="en-US" w:eastAsia="zh-CN"/>
              </w:rPr>
              <w:t xml:space="preserve">      </w:t>
            </w: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10.50</w:t>
            </w:r>
          </w:p>
        </w:tc>
        <w:tc>
          <w:tcPr>
            <w:tcW w:w="15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10.50</w:t>
            </w:r>
          </w:p>
        </w:tc>
        <w:tc>
          <w:tcPr>
            <w:tcW w:w="1518"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r>
    </w:tbl>
    <w:p>
      <w:pPr>
        <w:widowControl/>
        <w:jc w:val="left"/>
        <w:outlineLvl w:val="1"/>
        <w:rPr>
          <w:rFonts w:hint="eastAsia"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表11</w:t>
      </w:r>
    </w:p>
    <w:p>
      <w:pPr>
        <w:widowControl/>
        <w:jc w:val="left"/>
        <w:outlineLvl w:val="1"/>
        <w:rPr>
          <w:rFonts w:ascii="仿宋_GB2312" w:hAnsi="宋体" w:eastAsia="仿宋_GB2312"/>
          <w:b/>
          <w:kern w:val="0"/>
          <w:sz w:val="32"/>
          <w:szCs w:val="32"/>
        </w:rPr>
      </w:pPr>
    </w:p>
    <w:p>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pPr>
        <w:widowControl/>
        <w:jc w:val="center"/>
        <w:outlineLvl w:val="1"/>
        <w:rPr>
          <w:rFonts w:ascii="仿宋_GB2312" w:hAnsi="宋体" w:eastAsia="仿宋_GB2312"/>
          <w:b/>
          <w:kern w:val="0"/>
          <w:sz w:val="32"/>
          <w:szCs w:val="32"/>
        </w:rPr>
      </w:pPr>
    </w:p>
    <w:tbl>
      <w:tblPr>
        <w:tblStyle w:val="3"/>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0"/>
        <w:gridCol w:w="850"/>
        <w:gridCol w:w="850"/>
        <w:gridCol w:w="850"/>
        <w:gridCol w:w="850"/>
        <w:gridCol w:w="850"/>
        <w:gridCol w:w="850"/>
        <w:gridCol w:w="850"/>
        <w:gridCol w:w="400"/>
        <w:gridCol w:w="4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00" w:type="dxa"/>
            <w:gridSpan w:val="9"/>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编制单位：墨玉县英也尔乡人民政府</w:t>
            </w:r>
          </w:p>
        </w:tc>
        <w:tc>
          <w:tcPr>
            <w:tcW w:w="1300" w:type="dxa"/>
            <w:gridSpan w:val="2"/>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3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400"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400" w:type="dxa"/>
            <w:gridSpan w:val="5"/>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350"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小计</w:t>
            </w:r>
          </w:p>
        </w:tc>
        <w:tc>
          <w:tcPr>
            <w:tcW w:w="1700"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85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700" w:type="dxa"/>
            <w:gridSpan w:val="3"/>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3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5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50" w:type="dxa"/>
            <w:gridSpan w:val="2"/>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850"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3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gridSpan w:val="2"/>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3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gridSpan w:val="2"/>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350" w:type="dxa"/>
            <w:noWrap w:val="0"/>
            <w:vAlign w:val="center"/>
          </w:tcPr>
          <w:p>
            <w:pPr>
              <w:spacing w:line="600" w:lineRule="exact"/>
              <w:jc w:val="center"/>
              <w:rPr>
                <w:rFonts w:ascii="仿宋" w:hAnsi="仿宋" w:eastAsia="仿宋" w:cs="仿宋_GB2312"/>
                <w:b/>
                <w:bCs/>
                <w:color w:val="auto"/>
                <w:kern w:val="0"/>
                <w:sz w:val="18"/>
                <w:szCs w:val="18"/>
                <w:highlight w:val="none"/>
              </w:rPr>
            </w:pPr>
          </w:p>
        </w:tc>
        <w:tc>
          <w:tcPr>
            <w:tcW w:w="850" w:type="dxa"/>
            <w:noWrap w:val="0"/>
            <w:vAlign w:val="center"/>
          </w:tcPr>
          <w:p>
            <w:pPr>
              <w:spacing w:line="60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b/>
                <w:bCs/>
                <w:kern w:val="0"/>
                <w:sz w:val="20"/>
                <w:szCs w:val="20"/>
              </w:rPr>
              <w:t>总计</w:t>
            </w:r>
          </w:p>
        </w:tc>
        <w:tc>
          <w:tcPr>
            <w:tcW w:w="850" w:type="dxa"/>
            <w:noWrap w:val="0"/>
            <w:vAlign w:val="center"/>
          </w:tcPr>
          <w:p>
            <w:pPr>
              <w:spacing w:line="600" w:lineRule="exact"/>
              <w:jc w:val="center"/>
              <w:rPr>
                <w:rFonts w:ascii="仿宋" w:hAnsi="仿宋" w:eastAsia="仿宋" w:cs="仿宋_GB2312"/>
                <w:b/>
                <w:bCs/>
                <w:color w:val="auto"/>
                <w:kern w:val="0"/>
                <w:sz w:val="18"/>
                <w:szCs w:val="18"/>
                <w:highlight w:val="none"/>
              </w:rPr>
            </w:pPr>
          </w:p>
        </w:tc>
        <w:tc>
          <w:tcPr>
            <w:tcW w:w="850" w:type="dxa"/>
            <w:noWrap w:val="0"/>
            <w:vAlign w:val="center"/>
          </w:tcPr>
          <w:p>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gridSpan w:val="2"/>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r>
    </w:tbl>
    <w:p>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备注：墨玉县英也尔乡人民政府2025年无上年结转结余预算安排的支出，上年结转结余情况明细表为空表。</w:t>
      </w:r>
    </w:p>
    <w:p>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pPr>
        <w:widowControl w:val="0"/>
        <w:spacing w:before="0" w:beforeLines="0" w:line="560" w:lineRule="exact"/>
        <w:jc w:val="center"/>
        <w:outlineLvl w:val="9"/>
        <w:rPr>
          <w:rFonts w:hint="eastAsia" w:ascii="黑体" w:hAnsi="黑体" w:eastAsia="黑体"/>
          <w:kern w:val="0"/>
          <w:sz w:val="32"/>
          <w:szCs w:val="32"/>
        </w:rPr>
      </w:pPr>
      <w:r>
        <w:rPr>
          <w:rFonts w:hint="eastAsia" w:ascii="黑体" w:hAnsi="黑体" w:eastAsia="黑体"/>
          <w:kern w:val="0"/>
          <w:sz w:val="32"/>
          <w:szCs w:val="32"/>
        </w:rPr>
        <w:t>第三部分 2025年单位预算情况说明</w:t>
      </w:r>
    </w:p>
    <w:p>
      <w:pPr>
        <w:widowControl w:val="0"/>
        <w:spacing w:before="0" w:beforeLines="0" w:line="560" w:lineRule="exact"/>
        <w:jc w:val="center"/>
        <w:outlineLvl w:val="9"/>
        <w:rPr>
          <w:rFonts w:ascii="楷体_GB2312" w:hAnsi="楷体_GB2312" w:eastAsia="楷体_GB2312"/>
          <w:kern w:val="0"/>
          <w:sz w:val="32"/>
          <w:szCs w:val="32"/>
        </w:rPr>
      </w:pP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关于墨玉县英也尔乡人民政府单位2025年收支预算情况的总体说明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按照全口径预算的原则，墨玉县英也尔乡人民政府单位2025年所有收入和支出均纳入单位预算管理。收支总预算2755.66万元。</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支出预算包括：一般公共服务支出、社会保障和就业支出、卫生健康支出、农林水支出、住房保障支出。</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二、关于墨玉县英也尔乡人民政府单位2025年收入预算情况说明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墨玉县英也尔乡人民政府单位收入预算2755.66万元，其中：</w:t>
      </w:r>
    </w:p>
    <w:p>
      <w:pPr>
        <w:widowControl w:val="0"/>
        <w:spacing w:line="560" w:lineRule="exact"/>
        <w:ind w:firstLine="640" w:firstLineChars="200"/>
        <w:jc w:val="both"/>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一般公共预算2432.42万元，占88.27%，比上年预算减少182.46万元，下降6.98%，主要原因是</w:t>
      </w:r>
      <w:r>
        <w:rPr>
          <w:rFonts w:hint="eastAsia" w:ascii="仿宋_GB2312" w:hAnsi="宋体" w:eastAsia="仿宋_GB2312" w:cs="宋体"/>
          <w:kern w:val="0"/>
          <w:sz w:val="32"/>
          <w:szCs w:val="32"/>
          <w:lang w:val="en-US" w:eastAsia="zh-CN"/>
        </w:rPr>
        <w:t>2024年下半年，全乡在编人员调出较多，公共预算下降。</w:t>
      </w:r>
    </w:p>
    <w:p>
      <w:pPr>
        <w:widowControl w:val="0"/>
        <w:spacing w:line="560" w:lineRule="exact"/>
        <w:ind w:firstLine="640" w:firstLineChars="200"/>
        <w:jc w:val="both"/>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上级一般公共预算安排的转移支付246.57万元，占8.95%，比上年预算增加246.57万元，增长100.00%，主要原因是</w:t>
      </w:r>
      <w:r>
        <w:rPr>
          <w:rFonts w:hint="eastAsia" w:ascii="仿宋_GB2312" w:hAnsi="宋体" w:eastAsia="仿宋_GB2312" w:cs="宋体"/>
          <w:kern w:val="0"/>
          <w:sz w:val="32"/>
          <w:szCs w:val="32"/>
          <w:lang w:eastAsia="zh-CN"/>
        </w:rPr>
        <w:t>新建项目资金。</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val="0"/>
        <w:spacing w:line="560" w:lineRule="exact"/>
        <w:ind w:firstLine="640" w:firstLineChars="200"/>
        <w:jc w:val="both"/>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单位资金76.67万元，占2.78%，比上年预算减少101.00万元，下降56.85%，主要原因是</w:t>
      </w:r>
      <w:r>
        <w:rPr>
          <w:rFonts w:hint="eastAsia" w:ascii="仿宋_GB2312" w:hAnsi="宋体" w:eastAsia="仿宋_GB2312" w:cs="宋体"/>
          <w:kern w:val="0"/>
          <w:sz w:val="32"/>
          <w:szCs w:val="32"/>
          <w:lang w:eastAsia="zh-CN"/>
        </w:rPr>
        <w:t>门面房出租率下降。</w:t>
      </w:r>
    </w:p>
    <w:p>
      <w:pPr>
        <w:widowControl w:val="0"/>
        <w:spacing w:line="560" w:lineRule="exact"/>
        <w:ind w:firstLine="640" w:firstLineChars="200"/>
        <w:jc w:val="both"/>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rPr>
        <w:t>财政拨款结转0.00万元，占0.00%，比上年预算减少12.30万元，下降100.00%，主</w:t>
      </w:r>
      <w:r>
        <w:rPr>
          <w:rFonts w:hint="eastAsia" w:ascii="仿宋_GB2312" w:hAnsi="宋体" w:eastAsia="仿宋_GB2312" w:cs="宋体"/>
          <w:kern w:val="0"/>
          <w:sz w:val="32"/>
          <w:szCs w:val="32"/>
          <w:highlight w:val="none"/>
        </w:rPr>
        <w:t>要原因是</w:t>
      </w:r>
      <w:r>
        <w:rPr>
          <w:rFonts w:hint="eastAsia" w:ascii="仿宋_GB2312" w:hAnsi="宋体" w:eastAsia="仿宋_GB2312" w:cs="宋体"/>
          <w:kern w:val="0"/>
          <w:sz w:val="32"/>
          <w:szCs w:val="32"/>
          <w:highlight w:val="none"/>
          <w:lang w:eastAsia="zh-CN"/>
        </w:rPr>
        <w:t>没有可结转资金。</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三、关于墨玉县英也尔乡人民政府单位2025年支出预算情况说明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墨玉县英也尔乡人民政府单位2025年支出预算2755.66万元，其中：</w:t>
      </w:r>
    </w:p>
    <w:p>
      <w:pPr>
        <w:widowControl w:val="0"/>
        <w:spacing w:line="560" w:lineRule="exact"/>
        <w:ind w:firstLine="640" w:firstLineChars="200"/>
        <w:jc w:val="both"/>
        <w:rPr>
          <w:rFonts w:hint="default" w:ascii="仿宋_GB2312" w:hAnsi="宋体" w:eastAsia="仿宋_GB2312" w:cs="宋体"/>
          <w:b/>
          <w:kern w:val="0"/>
          <w:sz w:val="32"/>
          <w:szCs w:val="32"/>
          <w:lang w:val="en-US" w:eastAsia="zh-CN"/>
        </w:rPr>
      </w:pPr>
      <w:r>
        <w:rPr>
          <w:rFonts w:hint="eastAsia" w:ascii="仿宋_GB2312" w:hAnsi="宋体" w:eastAsia="仿宋_GB2312" w:cs="宋体"/>
          <w:kern w:val="0"/>
          <w:sz w:val="32"/>
          <w:szCs w:val="32"/>
        </w:rPr>
        <w:t>基本支出2432.42万元，占88.27%，比上年预算减少182.46万元，下降6.98%，主要原因是</w:t>
      </w:r>
      <w:r>
        <w:rPr>
          <w:rFonts w:hint="eastAsia" w:ascii="仿宋_GB2312" w:hAnsi="宋体" w:eastAsia="仿宋_GB2312" w:cs="宋体"/>
          <w:kern w:val="0"/>
          <w:sz w:val="32"/>
          <w:szCs w:val="32"/>
          <w:lang w:val="en-US" w:eastAsia="zh-CN"/>
        </w:rPr>
        <w:t>2024年下半年人员调出较多。</w:t>
      </w:r>
    </w:p>
    <w:p>
      <w:pPr>
        <w:widowControl w:val="0"/>
        <w:spacing w:line="560" w:lineRule="exact"/>
        <w:ind w:firstLine="640" w:firstLineChars="200"/>
        <w:jc w:val="both"/>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项目支出323.24万元，占11.73%，比上年预算增加133.27万元，增长70.15%，主要原因是</w:t>
      </w:r>
      <w:r>
        <w:rPr>
          <w:rFonts w:hint="eastAsia" w:ascii="仿宋_GB2312" w:hAnsi="宋体" w:eastAsia="仿宋_GB2312" w:cs="宋体"/>
          <w:kern w:val="0"/>
          <w:sz w:val="32"/>
          <w:szCs w:val="32"/>
          <w:lang w:eastAsia="zh-CN"/>
        </w:rPr>
        <w:t>今年结项项目较多。</w:t>
      </w:r>
    </w:p>
    <w:p>
      <w:pPr>
        <w:widowControl w:val="0"/>
        <w:spacing w:line="560" w:lineRule="exact"/>
        <w:ind w:firstLine="643" w:firstLineChars="200"/>
        <w:jc w:val="both"/>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四、关于墨玉县英也尔乡人民政府单位2025年财政拨款收支预算情况的总体说明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2025年财政拨款收支总预算2678.99万元。</w:t>
      </w:r>
    </w:p>
    <w:p>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收入预算包括：一般公共预算拨款2678.99万元。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1829.96万元，主要用于保障单位正常运行的人员经费、公用经费支出；社会保障和就业支出280.60万元，主要用于单位人员社保缴费支出；卫生健康支出136.12万元，主要用于单位人员医疗保险缴费支出；农林水支出246.57万元，主要用于保障单位正常运行的人员经费、公用经费支出；住房保障支出185.74万元，主要用于单位人员住房公积金缴费支出。</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五、关于墨玉县英也尔乡人民政府单位2025年</w:t>
      </w:r>
      <w:r>
        <w:rPr>
          <w:rFonts w:hint="eastAsia" w:ascii="楷体_GB2312" w:hAnsi="楷体_GB2312" w:eastAsia="楷体_GB2312" w:cs="楷体_GB2312"/>
          <w:b/>
          <w:kern w:val="0"/>
          <w:sz w:val="32"/>
          <w:szCs w:val="32"/>
          <w:lang w:eastAsia="zh-CN"/>
        </w:rPr>
        <w:t>一般公共预算财政拨款</w:t>
      </w:r>
      <w:r>
        <w:rPr>
          <w:rFonts w:hint="eastAsia" w:ascii="楷体_GB2312" w:hAnsi="楷体_GB2312" w:eastAsia="楷体_GB2312" w:cs="楷体_GB2312"/>
          <w:b/>
          <w:kern w:val="0"/>
          <w:sz w:val="32"/>
          <w:szCs w:val="32"/>
        </w:rPr>
        <w:t>情况说明</w:t>
      </w:r>
    </w:p>
    <w:p>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w:t>
      </w:r>
      <w:r>
        <w:rPr>
          <w:rFonts w:hint="eastAsia" w:ascii="仿宋_GB2312" w:hAnsi="仿宋_GB2312" w:eastAsia="仿宋_GB2312" w:cs="仿宋_GB2312"/>
          <w:b/>
          <w:kern w:val="0"/>
          <w:sz w:val="32"/>
          <w:szCs w:val="32"/>
          <w:lang w:eastAsia="zh-CN"/>
        </w:rPr>
        <w:t>一般公共预算财政拨款</w:t>
      </w:r>
      <w:r>
        <w:rPr>
          <w:rFonts w:hint="eastAsia" w:ascii="仿宋_GB2312" w:hAnsi="仿宋_GB2312" w:eastAsia="仿宋_GB2312" w:cs="仿宋_GB2312"/>
          <w:b/>
          <w:kern w:val="0"/>
          <w:sz w:val="32"/>
          <w:szCs w:val="32"/>
        </w:rPr>
        <w:t>规模变化情况</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墨玉县英也尔乡人民政府单位2025年一般公共预算拨款合计2678.99万元，其中：</w:t>
      </w:r>
    </w:p>
    <w:p>
      <w:pPr>
        <w:widowControl w:val="0"/>
        <w:spacing w:line="560" w:lineRule="exact"/>
        <w:ind w:firstLine="640" w:firstLineChars="200"/>
        <w:jc w:val="both"/>
        <w:rPr>
          <w:rFonts w:hint="default" w:ascii="仿宋_GB2312" w:hAnsi="宋体" w:eastAsia="仿宋_GB2312" w:cs="宋体"/>
          <w:kern w:val="0"/>
          <w:sz w:val="32"/>
          <w:szCs w:val="32"/>
          <w:lang w:val="en-US" w:eastAsia="zh-CN"/>
        </w:rPr>
      </w:pPr>
      <w:r>
        <w:rPr>
          <w:rFonts w:hint="eastAsia" w:ascii="仿宋_GB2312" w:eastAsia="仿宋_GB2312"/>
          <w:sz w:val="32"/>
          <w:szCs w:val="32"/>
        </w:rPr>
        <w:t>基本支出2432.42万元，比上年预算减少182.46万元，下降6.98%。主要原因是：</w:t>
      </w:r>
      <w:r>
        <w:rPr>
          <w:rFonts w:hint="eastAsia" w:ascii="仿宋_GB2312" w:eastAsia="仿宋_GB2312"/>
          <w:sz w:val="32"/>
          <w:szCs w:val="32"/>
          <w:lang w:val="en-US" w:eastAsia="zh-CN"/>
        </w:rPr>
        <w:t>2024年下半年人员调出较多。</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eastAsia="仿宋_GB2312"/>
          <w:sz w:val="32"/>
          <w:szCs w:val="32"/>
        </w:rPr>
        <w:t>项目支出246.57万元，比上年预算增加246.57万元，增长100.00%。主要原因是：</w:t>
      </w:r>
      <w:r>
        <w:rPr>
          <w:rFonts w:hint="eastAsia" w:ascii="仿宋_GB2312" w:hAnsi="宋体" w:eastAsia="仿宋_GB2312" w:cs="宋体"/>
          <w:kern w:val="0"/>
          <w:sz w:val="32"/>
          <w:szCs w:val="32"/>
          <w:lang w:eastAsia="zh-CN"/>
        </w:rPr>
        <w:t>今年结项项目较多。</w:t>
      </w:r>
    </w:p>
    <w:p>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w:t>
      </w:r>
      <w:r>
        <w:rPr>
          <w:rFonts w:hint="eastAsia" w:ascii="仿宋_GB2312" w:hAnsi="仿宋_GB2312" w:eastAsia="仿宋_GB2312" w:cs="仿宋_GB2312"/>
          <w:b/>
          <w:kern w:val="0"/>
          <w:sz w:val="32"/>
          <w:szCs w:val="32"/>
          <w:lang w:eastAsia="zh-CN"/>
        </w:rPr>
        <w:t>一般公共预算财政拨款</w:t>
      </w:r>
      <w:r>
        <w:rPr>
          <w:rFonts w:hint="eastAsia" w:ascii="仿宋_GB2312" w:hAnsi="仿宋_GB2312" w:eastAsia="仿宋_GB2312" w:cs="仿宋_GB2312"/>
          <w:b/>
          <w:kern w:val="0"/>
          <w:sz w:val="32"/>
          <w:szCs w:val="32"/>
        </w:rPr>
        <w:t>结构情况</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eastAsia="仿宋_GB2312"/>
          <w:sz w:val="32"/>
          <w:szCs w:val="32"/>
        </w:rPr>
        <w:t>1.一般公共服务支出（类）1829.96万元，占68.31%。</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eastAsia="仿宋_GB2312"/>
          <w:sz w:val="32"/>
          <w:szCs w:val="32"/>
        </w:rPr>
        <w:t>2.社会保障和就业支出（类）280.6万元，占10.47%。</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eastAsia="仿宋_GB2312"/>
          <w:sz w:val="32"/>
          <w:szCs w:val="32"/>
        </w:rPr>
        <w:t>3.卫生健康支出（类）136.12万元，占5.08%。</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eastAsia="仿宋_GB2312"/>
          <w:sz w:val="32"/>
          <w:szCs w:val="32"/>
        </w:rPr>
        <w:t>4.农林水支出（类）246.57万元，占9.2%。</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eastAsia="仿宋_GB2312"/>
          <w:sz w:val="32"/>
          <w:szCs w:val="32"/>
        </w:rPr>
        <w:t>5.住房保障支出（类）185.74万元，占6.93%。</w:t>
      </w:r>
    </w:p>
    <w:p>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w:t>
      </w:r>
      <w:r>
        <w:rPr>
          <w:rFonts w:hint="eastAsia" w:ascii="仿宋_GB2312" w:hAnsi="仿宋_GB2312" w:eastAsia="仿宋_GB2312" w:cs="仿宋_GB2312"/>
          <w:b/>
          <w:kern w:val="0"/>
          <w:sz w:val="32"/>
          <w:szCs w:val="32"/>
          <w:lang w:eastAsia="zh-CN"/>
        </w:rPr>
        <w:t>一般公共预算财政拨款</w:t>
      </w:r>
      <w:r>
        <w:rPr>
          <w:rFonts w:hint="eastAsia" w:ascii="仿宋_GB2312" w:hAnsi="仿宋_GB2312" w:eastAsia="仿宋_GB2312" w:cs="仿宋_GB2312"/>
          <w:b/>
          <w:kern w:val="0"/>
          <w:sz w:val="32"/>
          <w:szCs w:val="32"/>
        </w:rPr>
        <w:t>具体使用情况</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1.一般公共服务支出（类）政府办公厅（室）及相关机构事务（款）行政运行（项）：2025年预算数为1829.96万元，比上年预算减少118.72万元，下降6.09%，主要原因是：</w:t>
      </w:r>
      <w:r>
        <w:rPr>
          <w:rFonts w:hint="eastAsia" w:ascii="仿宋_GB2312" w:hAnsi="宋体" w:eastAsia="仿宋_GB2312" w:cs="宋体"/>
          <w:kern w:val="0"/>
          <w:sz w:val="32"/>
          <w:szCs w:val="32"/>
          <w:lang w:val="en-US" w:eastAsia="zh-CN"/>
        </w:rPr>
        <w:t>2024年下半年人员调出较多</w:t>
      </w:r>
      <w:r>
        <w:rPr>
          <w:rFonts w:hint="eastAsia" w:ascii="仿宋_GB2312" w:hAnsi="宋体" w:eastAsia="仿宋_GB2312" w:cs="宋体"/>
          <w:kern w:val="0"/>
          <w:sz w:val="32"/>
          <w:szCs w:val="32"/>
        </w:rPr>
        <w:t>。</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2.社会保障和就业支出（类）行政事业单位养老支出（款）行政单位离退休（项）：2025年预算数为32.95万元，比上年预算增加7.16万元，增长27.76%，主要原因是：</w:t>
      </w:r>
      <w:r>
        <w:rPr>
          <w:rFonts w:hint="eastAsia" w:ascii="仿宋_GB2312" w:hAnsi="宋体" w:eastAsia="仿宋_GB2312" w:cs="宋体"/>
          <w:kern w:val="0"/>
          <w:sz w:val="32"/>
          <w:szCs w:val="32"/>
          <w:lang w:eastAsia="zh-CN"/>
        </w:rPr>
        <w:t>增加退休人员</w:t>
      </w:r>
      <w:r>
        <w:rPr>
          <w:rFonts w:hint="eastAsia" w:ascii="仿宋_GB2312" w:hAnsi="宋体" w:eastAsia="仿宋_GB2312" w:cs="宋体"/>
          <w:kern w:val="0"/>
          <w:sz w:val="32"/>
          <w:szCs w:val="32"/>
          <w:lang w:val="en-US" w:eastAsia="zh-CN"/>
        </w:rPr>
        <w:t>2名</w:t>
      </w:r>
      <w:r>
        <w:rPr>
          <w:rFonts w:hint="eastAsia" w:ascii="仿宋_GB2312" w:hAnsi="宋体" w:eastAsia="仿宋_GB2312" w:cs="宋体"/>
          <w:kern w:val="0"/>
          <w:sz w:val="32"/>
          <w:szCs w:val="32"/>
        </w:rPr>
        <w:t>。</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3.社会保障和就业支出（类）行政事业单位养老支出（款）机关事业单位基本养老保险缴费支出（项）：2025年预算数为247.65万元，比上年预算减少20.22万元，下降7.55%，主要原因是：</w:t>
      </w:r>
      <w:r>
        <w:rPr>
          <w:rFonts w:hint="eastAsia" w:ascii="仿宋_GB2312" w:hAnsi="宋体" w:eastAsia="仿宋_GB2312" w:cs="宋体"/>
          <w:kern w:val="0"/>
          <w:sz w:val="32"/>
          <w:szCs w:val="32"/>
          <w:lang w:val="en-US" w:eastAsia="zh-CN"/>
        </w:rPr>
        <w:t>2024年下半年人员调出较多</w:t>
      </w:r>
      <w:r>
        <w:rPr>
          <w:rFonts w:hint="eastAsia" w:ascii="仿宋_GB2312" w:hAnsi="宋体" w:eastAsia="仿宋_GB2312" w:cs="宋体"/>
          <w:kern w:val="0"/>
          <w:sz w:val="32"/>
          <w:szCs w:val="32"/>
        </w:rPr>
        <w:t>。</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4.卫生健康支出（类）行政事业单位医疗（款）行政单位医疗（项）：2025年预算数为100.61万元，比上年预算减少8.21万元，下降7.54%，主要原因是：</w:t>
      </w:r>
      <w:r>
        <w:rPr>
          <w:rFonts w:hint="eastAsia" w:ascii="仿宋_GB2312" w:hAnsi="宋体" w:eastAsia="仿宋_GB2312" w:cs="宋体"/>
          <w:kern w:val="0"/>
          <w:sz w:val="32"/>
          <w:szCs w:val="32"/>
          <w:lang w:val="en-US" w:eastAsia="zh-CN"/>
        </w:rPr>
        <w:t>2024年下半年人员调出较多</w:t>
      </w:r>
      <w:r>
        <w:rPr>
          <w:rFonts w:hint="eastAsia" w:ascii="仿宋_GB2312" w:hAnsi="宋体" w:eastAsia="仿宋_GB2312" w:cs="宋体"/>
          <w:kern w:val="0"/>
          <w:sz w:val="32"/>
          <w:szCs w:val="32"/>
        </w:rPr>
        <w:t>。</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5.卫生健康支出（类）行政事业单位医疗（款）公务员医疗补助（项）：2025年预算数为35.51万元，比上年预算减少5.00万元，下降12.34%，主要原因是：</w:t>
      </w:r>
      <w:r>
        <w:rPr>
          <w:rFonts w:hint="eastAsia" w:ascii="仿宋_GB2312" w:hAnsi="宋体" w:eastAsia="仿宋_GB2312" w:cs="宋体"/>
          <w:kern w:val="0"/>
          <w:sz w:val="32"/>
          <w:szCs w:val="32"/>
          <w:lang w:val="en-US" w:eastAsia="zh-CN"/>
        </w:rPr>
        <w:t>2024年下半年人员调出较多</w:t>
      </w:r>
      <w:r>
        <w:rPr>
          <w:rFonts w:hint="eastAsia" w:ascii="仿宋_GB2312" w:hAnsi="宋体" w:eastAsia="仿宋_GB2312" w:cs="宋体"/>
          <w:kern w:val="0"/>
          <w:sz w:val="32"/>
          <w:szCs w:val="32"/>
        </w:rPr>
        <w:t>。</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6.农林水支出（类）</w:t>
      </w:r>
      <w:r>
        <w:rPr>
          <w:rFonts w:hint="eastAsia" w:ascii="仿宋_GB2312" w:hAnsi="宋体" w:eastAsia="仿宋_GB2312" w:cs="宋体"/>
          <w:kern w:val="0"/>
          <w:sz w:val="32"/>
          <w:szCs w:val="32"/>
          <w:lang w:eastAsia="zh-CN"/>
        </w:rPr>
        <w:t>巩固拓展脱贫攻坚成果</w:t>
      </w:r>
      <w:r>
        <w:rPr>
          <w:rFonts w:hint="eastAsia" w:ascii="仿宋_GB2312" w:hAnsi="宋体" w:eastAsia="仿宋_GB2312" w:cs="宋体"/>
          <w:kern w:val="0"/>
          <w:sz w:val="32"/>
          <w:szCs w:val="32"/>
        </w:rPr>
        <w:t>衔接乡村振兴（款）其他</w:t>
      </w:r>
      <w:r>
        <w:rPr>
          <w:rFonts w:hint="eastAsia" w:ascii="仿宋_GB2312" w:hAnsi="宋体" w:eastAsia="仿宋_GB2312" w:cs="宋体"/>
          <w:kern w:val="0"/>
          <w:sz w:val="32"/>
          <w:szCs w:val="32"/>
          <w:lang w:eastAsia="zh-CN"/>
        </w:rPr>
        <w:t>巩固拓展脱贫攻坚成果</w:t>
      </w:r>
      <w:r>
        <w:rPr>
          <w:rFonts w:hint="eastAsia" w:ascii="仿宋_GB2312" w:hAnsi="宋体" w:eastAsia="仿宋_GB2312" w:cs="宋体"/>
          <w:kern w:val="0"/>
          <w:sz w:val="32"/>
          <w:szCs w:val="32"/>
        </w:rPr>
        <w:t>衔接乡村振兴支出（项）：2025年预算数为150.27万元，比上年预算增加150.27万元，增长100.00%，主要原因是：</w:t>
      </w:r>
      <w:r>
        <w:rPr>
          <w:rFonts w:hint="eastAsia" w:ascii="仿宋_GB2312" w:hAnsi="宋体" w:eastAsia="仿宋_GB2312" w:cs="宋体"/>
          <w:kern w:val="0"/>
          <w:sz w:val="32"/>
          <w:szCs w:val="32"/>
          <w:lang w:eastAsia="zh-CN"/>
        </w:rPr>
        <w:t>今年结项项目较多</w:t>
      </w:r>
      <w:r>
        <w:rPr>
          <w:rFonts w:hint="eastAsia" w:ascii="仿宋_GB2312" w:hAnsi="宋体" w:eastAsia="仿宋_GB2312" w:cs="宋体"/>
          <w:kern w:val="0"/>
          <w:sz w:val="32"/>
          <w:szCs w:val="32"/>
        </w:rPr>
        <w:t>。</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7.农林水支出（类）农村综合改革（款）对村级公益事业建设的补助（项）：2025年预算数为96.30万元，比上年预算增加96.30万元，增长100.00%，主要原因是：</w:t>
      </w:r>
      <w:r>
        <w:rPr>
          <w:rFonts w:hint="eastAsia" w:ascii="仿宋_GB2312" w:hAnsi="宋体" w:eastAsia="仿宋_GB2312" w:cs="宋体"/>
          <w:kern w:val="0"/>
          <w:sz w:val="32"/>
          <w:szCs w:val="32"/>
          <w:lang w:eastAsia="zh-CN"/>
        </w:rPr>
        <w:t>有新建项目</w:t>
      </w:r>
      <w:r>
        <w:rPr>
          <w:rFonts w:hint="eastAsia" w:ascii="仿宋_GB2312" w:hAnsi="宋体" w:eastAsia="仿宋_GB2312" w:cs="宋体"/>
          <w:kern w:val="0"/>
          <w:sz w:val="32"/>
          <w:szCs w:val="32"/>
        </w:rPr>
        <w:t>。</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8.住房保障支出（类）住房改革支出（款）住房公积金（项）：2025年预算数为185.74万元，比上年预算减少15.16万元，下降7.55%，主要原因是：</w:t>
      </w:r>
      <w:r>
        <w:rPr>
          <w:rFonts w:hint="eastAsia" w:ascii="仿宋_GB2312" w:hAnsi="宋体" w:eastAsia="仿宋_GB2312" w:cs="宋体"/>
          <w:kern w:val="0"/>
          <w:sz w:val="32"/>
          <w:szCs w:val="32"/>
          <w:lang w:val="en-US" w:eastAsia="zh-CN"/>
        </w:rPr>
        <w:t>2024年下半年人员调出较多</w:t>
      </w:r>
      <w:r>
        <w:rPr>
          <w:rFonts w:hint="eastAsia" w:ascii="仿宋_GB2312" w:hAnsi="宋体" w:eastAsia="仿宋_GB2312" w:cs="宋体"/>
          <w:kern w:val="0"/>
          <w:sz w:val="32"/>
          <w:szCs w:val="32"/>
        </w:rPr>
        <w:t>。</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9.社会保障和就业支出（类）行政事业单位养老支出（款）机关事业单位职业年金缴费支出（项）：2025年预算数为0.00万元，比上年预算减少15.21万元，下降100.00%，主要原因是：</w:t>
      </w:r>
      <w:r>
        <w:rPr>
          <w:rFonts w:hint="eastAsia" w:ascii="仿宋_GB2312" w:hAnsi="宋体" w:eastAsia="仿宋_GB2312" w:cs="宋体"/>
          <w:kern w:val="0"/>
          <w:sz w:val="32"/>
          <w:szCs w:val="32"/>
          <w:lang w:val="en-US" w:eastAsia="zh-CN"/>
        </w:rPr>
        <w:t>2024年下半年人员调出较多</w:t>
      </w:r>
      <w:r>
        <w:rPr>
          <w:rFonts w:hint="eastAsia" w:ascii="仿宋_GB2312" w:hAnsi="宋体" w:eastAsia="仿宋_GB2312" w:cs="宋体"/>
          <w:kern w:val="0"/>
          <w:sz w:val="32"/>
          <w:szCs w:val="32"/>
        </w:rPr>
        <w:t>。</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10.卫生健康支出（类）行政事业单位医疗（款）其他行政事业单位医疗支出（项）：2025年预算数为0.00万元，比上年预算减少7.10万元，下降100.00%，主要原因是：</w:t>
      </w:r>
      <w:r>
        <w:rPr>
          <w:rFonts w:hint="eastAsia" w:ascii="仿宋_GB2312" w:hAnsi="宋体" w:eastAsia="仿宋_GB2312" w:cs="宋体"/>
          <w:kern w:val="0"/>
          <w:sz w:val="32"/>
          <w:szCs w:val="32"/>
          <w:lang w:val="en-US" w:eastAsia="zh-CN"/>
        </w:rPr>
        <w:t>2024年下半年人员调出较多</w:t>
      </w:r>
      <w:r>
        <w:rPr>
          <w:rFonts w:hint="eastAsia" w:ascii="仿宋_GB2312" w:hAnsi="宋体" w:eastAsia="仿宋_GB2312" w:cs="宋体"/>
          <w:kern w:val="0"/>
          <w:sz w:val="32"/>
          <w:szCs w:val="32"/>
        </w:rPr>
        <w:t>。</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六、关于墨玉县英也尔乡人民政府单位2025年一般公共预算基本支出情况说明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墨玉县英也尔乡人民政府单位2025年一般公共预算基本支出2432.42万元，其中：</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人员经费2388.25万元，主要包括：基本工资、津贴补贴、奖金、绩效工资、机关事业单位基本养老保险缴费、职工基本医疗保险缴费、公务员医疗补助缴费、其他社会保障缴费、住房公积金、退休费。</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公用经费44.17万元，主要包括：办公费、取暖费、公务用车运行维护费。</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七、关于墨玉县英也尔乡人民政府单位2025年一般公共预算项目支出情况说明</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（一）项目名称：墨玉县英也尔乡群众治沙点道路配套工程项目</w:t>
      </w:r>
    </w:p>
    <w:p>
      <w:pPr>
        <w:widowControl w:val="0"/>
        <w:spacing w:line="560" w:lineRule="exact"/>
        <w:ind w:firstLine="640" w:firstLineChars="200"/>
        <w:jc w:val="both"/>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墨财农</w:t>
      </w:r>
      <w:r>
        <w:rPr>
          <w:rFonts w:hint="eastAsia" w:ascii="仿宋_GB2312" w:hAnsi="黑体" w:eastAsia="仿宋_GB2312"/>
          <w:sz w:val="32"/>
          <w:szCs w:val="32"/>
          <w:lang w:eastAsia="zh-CN"/>
        </w:rPr>
        <w:t>〔2024〕1号</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预算安排规模：40.76万元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项目承担单位：墨玉县英也尔乡人民政府</w:t>
      </w:r>
    </w:p>
    <w:p>
      <w:pPr>
        <w:widowControl w:val="0"/>
        <w:spacing w:line="560" w:lineRule="exact"/>
        <w:ind w:firstLine="640" w:firstLineChars="200"/>
        <w:jc w:val="both"/>
        <w:rPr>
          <w:rFonts w:hint="eastAsia" w:ascii="仿宋_GB2312" w:hAnsi="黑体" w:eastAsia="仿宋_GB2312"/>
          <w:sz w:val="32"/>
          <w:szCs w:val="32"/>
          <w:lang w:eastAsia="zh-CN"/>
        </w:rPr>
      </w:pPr>
      <w:r>
        <w:rPr>
          <w:rFonts w:ascii="仿宋_GB2312" w:hAnsi="黑体" w:eastAsia="仿宋_GB2312"/>
          <w:sz w:val="32"/>
          <w:szCs w:val="32"/>
        </w:rPr>
        <w:t>资金分配情况：</w:t>
      </w:r>
      <w:r>
        <w:rPr>
          <w:rFonts w:hint="eastAsia" w:ascii="仿宋_GB2312" w:hAnsi="黑体" w:eastAsia="仿宋_GB2312"/>
          <w:sz w:val="32"/>
          <w:szCs w:val="32"/>
          <w:lang w:eastAsia="zh-CN"/>
        </w:rPr>
        <w:t>用于购买英也尔乡</w:t>
      </w:r>
      <w:r>
        <w:rPr>
          <w:rFonts w:ascii="仿宋_GB2312" w:hAnsi="黑体" w:eastAsia="仿宋_GB2312"/>
          <w:sz w:val="32"/>
          <w:szCs w:val="32"/>
        </w:rPr>
        <w:t>群众治沙点道路配套</w:t>
      </w:r>
      <w:r>
        <w:rPr>
          <w:rFonts w:hint="eastAsia" w:ascii="仿宋_GB2312" w:hAnsi="黑体" w:eastAsia="仿宋_GB2312"/>
          <w:sz w:val="32"/>
          <w:szCs w:val="32"/>
          <w:lang w:eastAsia="zh-CN"/>
        </w:rPr>
        <w:t>设备</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（二）项目名称：墨玉县英也尔乡群众治沙点位电力套工程项目</w:t>
      </w:r>
    </w:p>
    <w:p>
      <w:pPr>
        <w:widowControl w:val="0"/>
        <w:spacing w:line="560" w:lineRule="exact"/>
        <w:ind w:firstLine="640" w:firstLineChars="200"/>
        <w:jc w:val="both"/>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墨财农</w:t>
      </w:r>
      <w:r>
        <w:rPr>
          <w:rFonts w:hint="eastAsia" w:ascii="仿宋_GB2312" w:hAnsi="黑体" w:eastAsia="仿宋_GB2312"/>
          <w:sz w:val="32"/>
          <w:szCs w:val="32"/>
          <w:lang w:eastAsia="zh-CN"/>
        </w:rPr>
        <w:t>〔2024〕1号</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预算安排规模：25.73万元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项目承担单位：墨玉县英也尔乡人民政府</w:t>
      </w:r>
    </w:p>
    <w:p>
      <w:pPr>
        <w:widowControl w:val="0"/>
        <w:spacing w:line="560" w:lineRule="exact"/>
        <w:ind w:firstLine="640" w:firstLineChars="200"/>
        <w:jc w:val="both"/>
        <w:rPr>
          <w:rFonts w:hint="eastAsia" w:ascii="仿宋_GB2312" w:hAnsi="黑体" w:eastAsia="仿宋_GB2312"/>
          <w:sz w:val="32"/>
          <w:szCs w:val="32"/>
          <w:lang w:eastAsia="zh-CN"/>
        </w:rPr>
      </w:pPr>
      <w:r>
        <w:rPr>
          <w:rFonts w:ascii="仿宋_GB2312" w:hAnsi="黑体" w:eastAsia="仿宋_GB2312"/>
          <w:sz w:val="32"/>
          <w:szCs w:val="32"/>
        </w:rPr>
        <w:t>资金分配情况：</w:t>
      </w:r>
      <w:r>
        <w:rPr>
          <w:rFonts w:hint="eastAsia" w:ascii="仿宋_GB2312" w:hAnsi="黑体" w:eastAsia="仿宋_GB2312"/>
          <w:sz w:val="32"/>
          <w:szCs w:val="32"/>
          <w:lang w:eastAsia="zh-CN"/>
        </w:rPr>
        <w:t>用于购买</w:t>
      </w:r>
      <w:r>
        <w:rPr>
          <w:rFonts w:ascii="仿宋_GB2312" w:hAnsi="黑体" w:eastAsia="仿宋_GB2312"/>
          <w:sz w:val="32"/>
          <w:szCs w:val="32"/>
        </w:rPr>
        <w:t>英也尔乡群众治沙点位电力</w:t>
      </w:r>
      <w:r>
        <w:rPr>
          <w:rFonts w:hint="eastAsia" w:ascii="仿宋_GB2312" w:hAnsi="黑体" w:eastAsia="仿宋_GB2312"/>
          <w:sz w:val="32"/>
          <w:szCs w:val="32"/>
          <w:lang w:eastAsia="zh-CN"/>
        </w:rPr>
        <w:t>设备</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（三）项目名称：墨玉县英也尔乡英也尔村度库鲁克村防渗渠2024年以工代赈工程</w:t>
      </w:r>
    </w:p>
    <w:p>
      <w:pPr>
        <w:widowControl w:val="0"/>
        <w:spacing w:line="560" w:lineRule="exact"/>
        <w:ind w:firstLine="640" w:firstLineChars="200"/>
        <w:jc w:val="both"/>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墨财农</w:t>
      </w:r>
      <w:r>
        <w:rPr>
          <w:rFonts w:hint="eastAsia" w:ascii="仿宋_GB2312" w:hAnsi="黑体" w:eastAsia="仿宋_GB2312"/>
          <w:sz w:val="32"/>
          <w:szCs w:val="32"/>
          <w:lang w:eastAsia="zh-CN"/>
        </w:rPr>
        <w:t>〔2024〕1号</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预算安排规模：3.80万元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项目承担单位：墨玉县英也尔乡人民政府</w:t>
      </w:r>
    </w:p>
    <w:p>
      <w:pPr>
        <w:widowControl w:val="0"/>
        <w:spacing w:line="560" w:lineRule="exact"/>
        <w:ind w:firstLine="640" w:firstLineChars="200"/>
        <w:jc w:val="both"/>
        <w:rPr>
          <w:rFonts w:hint="eastAsia" w:ascii="仿宋_GB2312" w:hAnsi="黑体" w:eastAsia="仿宋_GB2312"/>
          <w:sz w:val="32"/>
          <w:szCs w:val="32"/>
          <w:lang w:eastAsia="zh-CN"/>
        </w:rPr>
      </w:pPr>
      <w:r>
        <w:rPr>
          <w:rFonts w:ascii="仿宋_GB2312" w:hAnsi="黑体" w:eastAsia="仿宋_GB2312"/>
          <w:sz w:val="32"/>
          <w:szCs w:val="32"/>
        </w:rPr>
        <w:t>资金分配情况：</w:t>
      </w:r>
      <w:r>
        <w:rPr>
          <w:rFonts w:hint="eastAsia" w:ascii="仿宋_GB2312" w:hAnsi="黑体" w:eastAsia="仿宋_GB2312"/>
          <w:sz w:val="32"/>
          <w:szCs w:val="32"/>
          <w:lang w:eastAsia="zh-CN"/>
        </w:rPr>
        <w:t>用于</w:t>
      </w:r>
      <w:r>
        <w:rPr>
          <w:rFonts w:ascii="仿宋_GB2312" w:hAnsi="黑体" w:eastAsia="仿宋_GB2312"/>
          <w:sz w:val="32"/>
          <w:szCs w:val="32"/>
        </w:rPr>
        <w:t>英也尔乡英也尔村度库鲁克村防渗渠</w:t>
      </w:r>
      <w:r>
        <w:rPr>
          <w:rFonts w:hint="eastAsia" w:ascii="仿宋_GB2312" w:hAnsi="黑体" w:eastAsia="仿宋_GB2312"/>
          <w:sz w:val="32"/>
          <w:szCs w:val="32"/>
          <w:lang w:eastAsia="zh-CN"/>
        </w:rPr>
        <w:t>建设</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（四）项目名称：墨玉县英也尔乡加纳尼村等5个村村防渗渠建设2024年以工代赈推广工程</w:t>
      </w:r>
    </w:p>
    <w:p>
      <w:pPr>
        <w:widowControl w:val="0"/>
        <w:spacing w:line="560" w:lineRule="exact"/>
        <w:ind w:firstLine="640" w:firstLineChars="200"/>
        <w:jc w:val="both"/>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墨财农</w:t>
      </w:r>
      <w:r>
        <w:rPr>
          <w:rFonts w:hint="eastAsia" w:ascii="仿宋_GB2312" w:hAnsi="黑体" w:eastAsia="仿宋_GB2312"/>
          <w:sz w:val="32"/>
          <w:szCs w:val="32"/>
          <w:lang w:eastAsia="zh-CN"/>
        </w:rPr>
        <w:t>〔2024〕1号</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预算安排规模：3.14万元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项目承担单位：墨玉县英也尔乡人民政府</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lang w:eastAsia="zh-CN"/>
        </w:rPr>
        <w:t>用于</w:t>
      </w:r>
      <w:r>
        <w:rPr>
          <w:rFonts w:ascii="仿宋_GB2312" w:hAnsi="黑体" w:eastAsia="仿宋_GB2312"/>
          <w:sz w:val="32"/>
          <w:szCs w:val="32"/>
        </w:rPr>
        <w:t>英也尔乡加纳尼村等5个村村防渗渠建设资金执行时间：2025年1月1日至2025年12月31日</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（五）项目名称：墨玉县英也尔乡加纳尼村等5个村防渗渠建设以工代赈工程</w:t>
      </w:r>
    </w:p>
    <w:p>
      <w:pPr>
        <w:widowControl w:val="0"/>
        <w:spacing w:line="560" w:lineRule="exact"/>
        <w:ind w:firstLine="640" w:firstLineChars="200"/>
        <w:jc w:val="both"/>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墨财农</w:t>
      </w:r>
      <w:r>
        <w:rPr>
          <w:rFonts w:hint="eastAsia" w:ascii="仿宋_GB2312" w:hAnsi="黑体" w:eastAsia="仿宋_GB2312"/>
          <w:sz w:val="32"/>
          <w:szCs w:val="32"/>
          <w:lang w:eastAsia="zh-CN"/>
        </w:rPr>
        <w:t>〔2024〕1号</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预算安排规模：38.81万元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项目承担单位：墨玉县英也尔乡人民政府</w:t>
      </w:r>
    </w:p>
    <w:p>
      <w:pPr>
        <w:widowControl w:val="0"/>
        <w:spacing w:line="560" w:lineRule="exact"/>
        <w:ind w:firstLine="640" w:firstLineChars="200"/>
        <w:jc w:val="both"/>
        <w:rPr>
          <w:rFonts w:hint="eastAsia" w:ascii="仿宋_GB2312" w:hAnsi="黑体" w:eastAsia="仿宋_GB2312"/>
          <w:sz w:val="32"/>
          <w:szCs w:val="32"/>
          <w:lang w:eastAsia="zh-CN"/>
        </w:rPr>
      </w:pPr>
      <w:r>
        <w:rPr>
          <w:rFonts w:ascii="仿宋_GB2312" w:hAnsi="黑体" w:eastAsia="仿宋_GB2312"/>
          <w:sz w:val="32"/>
          <w:szCs w:val="32"/>
        </w:rPr>
        <w:t>资金分配情况：</w:t>
      </w:r>
      <w:r>
        <w:rPr>
          <w:rFonts w:hint="eastAsia" w:ascii="仿宋_GB2312" w:hAnsi="黑体" w:eastAsia="仿宋_GB2312"/>
          <w:sz w:val="32"/>
          <w:szCs w:val="32"/>
          <w:lang w:eastAsia="zh-CN"/>
        </w:rPr>
        <w:t>用于</w:t>
      </w:r>
      <w:r>
        <w:rPr>
          <w:rFonts w:ascii="仿宋_GB2312" w:hAnsi="黑体" w:eastAsia="仿宋_GB2312"/>
          <w:sz w:val="32"/>
          <w:szCs w:val="32"/>
        </w:rPr>
        <w:t>英也尔乡加纳尼村等5个村防渗渠建设</w:t>
      </w:r>
      <w:r>
        <w:rPr>
          <w:rFonts w:hint="eastAsia" w:ascii="仿宋_GB2312" w:hAnsi="黑体" w:eastAsia="仿宋_GB2312"/>
          <w:sz w:val="32"/>
          <w:szCs w:val="32"/>
          <w:lang w:val="en-US" w:eastAsia="zh-CN"/>
        </w:rPr>
        <w:t xml:space="preserve"> </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（六）项目名称：墨玉县英也尔乡英也尔村、苏库鲁克村防渗渠2024年以工代赈工程</w:t>
      </w:r>
    </w:p>
    <w:p>
      <w:pPr>
        <w:widowControl w:val="0"/>
        <w:spacing w:line="560" w:lineRule="exact"/>
        <w:ind w:firstLine="640" w:firstLineChars="200"/>
        <w:jc w:val="both"/>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墨财农</w:t>
      </w:r>
      <w:r>
        <w:rPr>
          <w:rFonts w:hint="eastAsia" w:ascii="仿宋_GB2312" w:hAnsi="黑体" w:eastAsia="仿宋_GB2312"/>
          <w:sz w:val="32"/>
          <w:szCs w:val="32"/>
          <w:lang w:eastAsia="zh-CN"/>
        </w:rPr>
        <w:t>〔2024〕1号</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预算安排规模：38.03万元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项目承担单位：墨玉县英也尔乡人民政府</w:t>
      </w:r>
    </w:p>
    <w:p>
      <w:pPr>
        <w:widowControl w:val="0"/>
        <w:spacing w:line="560" w:lineRule="exact"/>
        <w:ind w:firstLine="640" w:firstLineChars="200"/>
        <w:jc w:val="both"/>
        <w:rPr>
          <w:rFonts w:hint="eastAsia" w:ascii="仿宋_GB2312" w:hAnsi="黑体" w:eastAsia="仿宋_GB2312"/>
          <w:sz w:val="32"/>
          <w:szCs w:val="32"/>
          <w:lang w:eastAsia="zh-CN"/>
        </w:rPr>
      </w:pPr>
      <w:r>
        <w:rPr>
          <w:rFonts w:ascii="仿宋_GB2312" w:hAnsi="黑体" w:eastAsia="仿宋_GB2312"/>
          <w:sz w:val="32"/>
          <w:szCs w:val="32"/>
        </w:rPr>
        <w:t>资金分配情况：</w:t>
      </w:r>
      <w:r>
        <w:rPr>
          <w:rFonts w:hint="eastAsia" w:ascii="仿宋_GB2312" w:hAnsi="黑体" w:eastAsia="仿宋_GB2312"/>
          <w:sz w:val="32"/>
          <w:szCs w:val="32"/>
          <w:lang w:eastAsia="zh-CN"/>
        </w:rPr>
        <w:t>用于</w:t>
      </w:r>
      <w:r>
        <w:rPr>
          <w:rFonts w:ascii="仿宋_GB2312" w:hAnsi="黑体" w:eastAsia="仿宋_GB2312"/>
          <w:sz w:val="32"/>
          <w:szCs w:val="32"/>
        </w:rPr>
        <w:t>英也尔乡英也尔村、苏库鲁克村防渗渠</w:t>
      </w:r>
      <w:r>
        <w:rPr>
          <w:rFonts w:hint="eastAsia" w:ascii="仿宋_GB2312" w:hAnsi="黑体" w:eastAsia="仿宋_GB2312"/>
          <w:sz w:val="32"/>
          <w:szCs w:val="32"/>
          <w:lang w:eastAsia="zh-CN"/>
        </w:rPr>
        <w:t>建设</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（七）项目名称：墨玉县英也尔乡农机采购项目</w:t>
      </w:r>
    </w:p>
    <w:p>
      <w:pPr>
        <w:widowControl w:val="0"/>
        <w:spacing w:line="560" w:lineRule="exact"/>
        <w:ind w:firstLine="640" w:firstLineChars="200"/>
        <w:jc w:val="both"/>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lang w:eastAsia="zh-CN"/>
        </w:rPr>
        <w:t>各地</w:t>
      </w:r>
      <w:r>
        <w:rPr>
          <w:rFonts w:hint="eastAsia" w:ascii="仿宋_GB2312" w:hAnsi="黑体" w:eastAsia="仿宋_GB2312"/>
          <w:sz w:val="32"/>
          <w:szCs w:val="32"/>
        </w:rPr>
        <w:t>财农</w:t>
      </w:r>
      <w:r>
        <w:rPr>
          <w:rFonts w:hint="eastAsia" w:ascii="仿宋_GB2312" w:hAnsi="黑体" w:eastAsia="仿宋_GB2312"/>
          <w:sz w:val="32"/>
          <w:szCs w:val="32"/>
          <w:lang w:eastAsia="zh-CN"/>
        </w:rPr>
        <w:t>〔2023〕68号</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预算安排规模：96.30万元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项目承担单位：墨玉县英也尔乡人民政府</w:t>
      </w:r>
    </w:p>
    <w:p>
      <w:pPr>
        <w:widowControl w:val="0"/>
        <w:spacing w:line="560" w:lineRule="exact"/>
        <w:ind w:firstLine="640" w:firstLineChars="200"/>
        <w:jc w:val="both"/>
        <w:rPr>
          <w:rFonts w:hint="eastAsia" w:ascii="仿宋_GB2312" w:hAnsi="黑体" w:eastAsia="仿宋_GB2312"/>
          <w:sz w:val="32"/>
          <w:szCs w:val="32"/>
          <w:lang w:eastAsia="zh-CN"/>
        </w:rPr>
      </w:pPr>
      <w:r>
        <w:rPr>
          <w:rFonts w:ascii="仿宋_GB2312" w:hAnsi="黑体" w:eastAsia="仿宋_GB2312"/>
          <w:sz w:val="32"/>
          <w:szCs w:val="32"/>
        </w:rPr>
        <w:t>资金分配情况：</w:t>
      </w:r>
      <w:r>
        <w:rPr>
          <w:rFonts w:hint="eastAsia" w:ascii="仿宋_GB2312" w:hAnsi="黑体" w:eastAsia="仿宋_GB2312"/>
          <w:sz w:val="32"/>
          <w:szCs w:val="32"/>
          <w:lang w:eastAsia="zh-CN"/>
        </w:rPr>
        <w:t>用于采购农机设备</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八、关于墨玉县英也尔乡人民政府单位2025年政府性基金预算拨款情况说明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墨玉县英也尔乡人民政府单位2025年没有使用政府性基金预算拨款安排的支出，政府性基金预算支出情况表为空表。</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九、关于墨玉县英也尔乡人民政府单位2025年国有资本经营预算拨款情况说明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墨玉县英也尔乡人民政府单位2025年没有使用国有资本经营预算拨款安排的支出，国有资本经营预算支出情况表为空表。</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十、关于墨玉县英也尔乡人民政府单位2025年财政拨款“三公”经费预算情况说明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墨玉县英也尔乡人民政府单位2025年财政拨款“三公”经费数为10.50万元，其中：因公出国（境）费0.00万元，公务用车购置费0.00万元，公务用车运行费10.50万元，公务接待费0.00万元。</w:t>
      </w:r>
    </w:p>
    <w:p>
      <w:pPr>
        <w:widowControl w:val="0"/>
        <w:spacing w:line="560" w:lineRule="exact"/>
        <w:ind w:firstLine="640" w:firstLineChars="200"/>
        <w:jc w:val="both"/>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2025年财政拨款“三公”经费比上年预算减少0.00万元，下降0.00%，其中：因公出国（境）费减少0.00万元，下降0.00%，主要原因是我单位本年无因公出国（境）费预算安排；公务用车购置费减少0.00万元，下降0.00%，主要原因是我单位本年无公务用车购置费预算安排；公务用车运行费减少0.00万元，下降0.00%，主要原因是</w:t>
      </w:r>
      <w:r>
        <w:rPr>
          <w:rFonts w:hint="eastAsia" w:ascii="仿宋_GB2312" w:hAnsi="宋体" w:eastAsia="仿宋_GB2312" w:cs="宋体"/>
          <w:kern w:val="0"/>
          <w:sz w:val="32"/>
          <w:szCs w:val="32"/>
          <w:lang w:val="en-US" w:eastAsia="zh-CN"/>
        </w:rPr>
        <w:t>我单位车辆数和车辆经费标准无变化；</w:t>
      </w:r>
      <w:r>
        <w:rPr>
          <w:rFonts w:hint="eastAsia" w:ascii="仿宋_GB2312" w:hAnsi="宋体" w:eastAsia="仿宋_GB2312" w:cs="宋体"/>
          <w:kern w:val="0"/>
          <w:sz w:val="32"/>
          <w:szCs w:val="32"/>
        </w:rPr>
        <w:t>公务接待费减少0.00万元，下降0.00%</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我单位无公务接待费预算安排</w:t>
      </w:r>
      <w:r>
        <w:rPr>
          <w:rFonts w:hint="eastAsia" w:ascii="仿宋_GB2312" w:hAnsi="宋体" w:eastAsia="仿宋_GB2312" w:cs="宋体"/>
          <w:kern w:val="0"/>
          <w:sz w:val="32"/>
          <w:szCs w:val="32"/>
          <w:lang w:eastAsia="zh-CN"/>
        </w:rPr>
        <w:t>。</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十一、关于墨玉县英也尔乡人民政府单位2025年上年结转结余预算情况说明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墨玉县英也尔乡人民政府单位2025年没有上年结转结余预算的支出，上年结转结余情况明细表为空表。</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widowControl w:val="0"/>
        <w:spacing w:line="560" w:lineRule="exact"/>
        <w:ind w:firstLine="640" w:firstLineChars="200"/>
        <w:jc w:val="both"/>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墨玉县英也尔乡人民政府单位2025年的机关运行经费财政拨款预算44.17万元，比上年预算减少1.71万元，下降3.73%。主要</w:t>
      </w:r>
      <w:r>
        <w:rPr>
          <w:rFonts w:hint="eastAsia" w:ascii="仿宋_GB2312" w:hAnsi="宋体" w:eastAsia="仿宋_GB2312" w:cs="宋体"/>
          <w:kern w:val="0"/>
          <w:sz w:val="32"/>
          <w:szCs w:val="32"/>
          <w:lang w:eastAsia="zh-CN"/>
        </w:rPr>
        <w:t>原因是在编人员调出。</w:t>
      </w:r>
    </w:p>
    <w:p>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2025年，墨玉县英也尔乡人民政府单位政府采购预算0.00万元，其中：政府采购货物预算0.00万元，政府采购工程预算0.00万元，政府采购服务预算0.00万元。</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仿宋_GB2312" w:eastAsia="仿宋_GB2312"/>
          <w:sz w:val="32"/>
        </w:rPr>
        <w:t>2025年，墨玉县英也尔乡人民政府单位面向中小企业预留政府采购项目预算金额0.00万元，小微企业预留政府采购项目预算金额0.00万元。</w:t>
      </w:r>
    </w:p>
    <w:p>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截至2024年底，墨玉县英也尔乡人民政府单位及下属各预算单位占用使用国有资产总体情况为：</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1.房屋0.00平方米，价值</w:t>
      </w:r>
      <w:r>
        <w:rPr>
          <w:rFonts w:hint="eastAsia" w:ascii="仿宋_GB2312" w:hAnsi="宋体" w:eastAsia="仿宋_GB2312" w:cs="宋体"/>
          <w:kern w:val="0"/>
          <w:sz w:val="32"/>
          <w:szCs w:val="32"/>
          <w:lang w:val="en-US" w:eastAsia="zh-CN"/>
        </w:rPr>
        <w:t>0.00</w:t>
      </w:r>
      <w:r>
        <w:rPr>
          <w:rFonts w:hint="eastAsia" w:ascii="仿宋_GB2312" w:hAnsi="宋体" w:eastAsia="仿宋_GB2312" w:cs="宋体"/>
          <w:kern w:val="0"/>
          <w:sz w:val="32"/>
          <w:szCs w:val="32"/>
        </w:rPr>
        <w:t>万元。</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2.车辆</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辆，价值</w:t>
      </w:r>
      <w:r>
        <w:rPr>
          <w:rFonts w:hint="eastAsia" w:ascii="仿宋_GB2312" w:hAnsi="宋体" w:eastAsia="仿宋_GB2312" w:cs="宋体"/>
          <w:kern w:val="0"/>
          <w:sz w:val="32"/>
          <w:szCs w:val="32"/>
          <w:lang w:val="en-US" w:eastAsia="zh-CN"/>
        </w:rPr>
        <w:t>65.14</w:t>
      </w:r>
      <w:r>
        <w:rPr>
          <w:rFonts w:hint="eastAsia" w:ascii="仿宋_GB2312" w:hAnsi="宋体" w:eastAsia="仿宋_GB2312" w:cs="宋体"/>
          <w:kern w:val="0"/>
          <w:sz w:val="32"/>
          <w:szCs w:val="32"/>
        </w:rPr>
        <w:t>万元；其中：一般公务用车</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辆，价值</w:t>
      </w:r>
      <w:r>
        <w:rPr>
          <w:rFonts w:hint="eastAsia" w:ascii="仿宋_GB2312" w:hAnsi="宋体" w:eastAsia="仿宋_GB2312" w:cs="宋体"/>
          <w:kern w:val="0"/>
          <w:sz w:val="32"/>
          <w:szCs w:val="32"/>
          <w:lang w:val="en-US" w:eastAsia="zh-CN"/>
        </w:rPr>
        <w:t>65.14</w:t>
      </w:r>
      <w:r>
        <w:rPr>
          <w:rFonts w:hint="eastAsia" w:ascii="仿宋_GB2312" w:hAnsi="宋体" w:eastAsia="仿宋_GB2312" w:cs="宋体"/>
          <w:kern w:val="0"/>
          <w:sz w:val="32"/>
          <w:szCs w:val="32"/>
        </w:rPr>
        <w:t>万元；执法执勤用车0辆，价值0.00万元；其他车辆0辆，价值0.00万元。</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w:t>
      </w:r>
      <w:r>
        <w:rPr>
          <w:rFonts w:hint="eastAsia" w:ascii="仿宋_GB2312" w:hAnsi="宋体" w:eastAsia="仿宋_GB2312" w:cs="宋体"/>
          <w:kern w:val="0"/>
          <w:sz w:val="32"/>
          <w:szCs w:val="32"/>
          <w:lang w:val="en-US" w:eastAsia="zh-CN"/>
        </w:rPr>
        <w:t>43.70</w:t>
      </w:r>
      <w:r>
        <w:rPr>
          <w:rFonts w:hint="eastAsia" w:ascii="仿宋_GB2312" w:hAnsi="宋体" w:eastAsia="仿宋_GB2312" w:cs="宋体"/>
          <w:kern w:val="0"/>
          <w:sz w:val="32"/>
          <w:szCs w:val="32"/>
        </w:rPr>
        <w:t>万元。</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单位价值50万元以上大型设备0台（套），单位价值100万元以上大型设备0台（套）。</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2025年单位预算未安排购置车辆经费，安排购置50万元以上大型设备0台（套），单位价值100万元以上大型设备0台（套）。</w:t>
      </w:r>
    </w:p>
    <w:p>
      <w:pPr>
        <w:widowControl/>
        <w:jc w:val="left"/>
        <w:outlineLvl w:val="1"/>
        <w:rPr>
          <w:rFonts w:ascii="微软雅黑" w:hAnsi="微软雅黑" w:eastAsia="微软雅黑" w:cs="Times New Roman"/>
          <w:b/>
          <w:spacing w:val="40"/>
          <w:sz w:val="28"/>
          <w:szCs w:val="28"/>
        </w:rPr>
        <w:sectPr>
          <w:footerReference r:id="rId8" w:type="default"/>
          <w:pgSz w:w="11906" w:h="16838"/>
          <w:pgMar w:top="1440" w:right="1800" w:bottom="1440" w:left="1800" w:header="851" w:footer="992" w:gutter="0"/>
          <w:cols w:space="425" w:num="1"/>
          <w:docGrid w:type="lines" w:linePitch="312" w:charSpace="0"/>
        </w:sectPr>
      </w:pPr>
    </w:p>
    <w:p>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2025年，本部门预算绩效管理整体预算绩效目标1个，涉及预算金额</w:t>
      </w:r>
      <w:r>
        <w:rPr>
          <w:rFonts w:hint="eastAsia" w:ascii="仿宋_GB2312" w:hAnsi="宋体" w:eastAsia="仿宋_GB2312" w:cs="宋体"/>
          <w:kern w:val="0"/>
          <w:sz w:val="32"/>
          <w:szCs w:val="32"/>
          <w:lang w:val="en-US" w:eastAsia="zh-CN"/>
        </w:rPr>
        <w:t>2432.42</w:t>
      </w:r>
      <w:bookmarkStart w:id="0" w:name="_GoBack"/>
      <w:bookmarkEnd w:id="0"/>
      <w:r>
        <w:rPr>
          <w:rFonts w:hint="eastAsia" w:ascii="仿宋_GB2312" w:hAnsi="宋体" w:eastAsia="仿宋_GB2312" w:cs="宋体"/>
          <w:kern w:val="0"/>
          <w:sz w:val="32"/>
          <w:szCs w:val="32"/>
        </w:rPr>
        <w:t>万元；当年预算安排项目共0个，其中：财政拨款项目涉及预算金额0万元；非财政拨款项目涉及预算金额0万元。具体情况见下表（按项目分别填报）：</w:t>
      </w:r>
    </w:p>
    <w:p>
      <w:pPr>
        <w:widowControl/>
        <w:spacing w:line="600" w:lineRule="exact"/>
        <w:rPr>
          <w:rFonts w:ascii="仿宋_GB2312" w:hAnsi="宋体" w:eastAsia="仿宋_GB2312" w:cs="宋体"/>
          <w:kern w:val="0"/>
          <w:sz w:val="32"/>
          <w:szCs w:val="32"/>
        </w:rPr>
      </w:pPr>
    </w:p>
    <w:tbl>
      <w:tblPr>
        <w:tblStyle w:val="3"/>
        <w:tblW w:w="850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949"/>
        <w:gridCol w:w="1421"/>
        <w:gridCol w:w="1650"/>
        <w:gridCol w:w="1246"/>
        <w:gridCol w:w="1317"/>
        <w:gridCol w:w="9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 w:hRule="atLeast"/>
        </w:trPr>
        <w:tc>
          <w:tcPr>
            <w:tcW w:w="8505" w:type="dxa"/>
            <w:gridSpan w:val="6"/>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40"/>
                <w:szCs w:val="40"/>
                <w:u w:val="none"/>
              </w:rPr>
            </w:pPr>
            <w:r>
              <w:rPr>
                <w:rFonts w:hint="eastAsia" w:ascii="宋体" w:hAnsi="宋体" w:eastAsia="宋体" w:cs="宋体"/>
                <w:b/>
                <w:i w:val="0"/>
                <w:color w:val="000000"/>
                <w:kern w:val="0"/>
                <w:sz w:val="40"/>
                <w:szCs w:val="40"/>
                <w:u w:val="none"/>
                <w:lang w:val="en-US" w:eastAsia="zh-CN" w:bidi="ar"/>
              </w:rPr>
              <w:t>部门（单位）整体绩效目标申报表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 w:hRule="atLeast"/>
        </w:trPr>
        <w:tc>
          <w:tcPr>
            <w:tcW w:w="8505" w:type="dxa"/>
            <w:gridSpan w:val="6"/>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 w:hRule="atLeast"/>
        </w:trPr>
        <w:tc>
          <w:tcPr>
            <w:tcW w:w="19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部门（单位）名称（盖章）</w:t>
            </w:r>
          </w:p>
        </w:tc>
        <w:tc>
          <w:tcPr>
            <w:tcW w:w="6556"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墨玉县英也尔乡人民政府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 w:hRule="atLeast"/>
        </w:trPr>
        <w:tc>
          <w:tcPr>
            <w:tcW w:w="19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部门（单位）联系人</w:t>
            </w:r>
          </w:p>
        </w:tc>
        <w:tc>
          <w:tcPr>
            <w:tcW w:w="307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游帅</w:t>
            </w:r>
          </w:p>
        </w:tc>
        <w:tc>
          <w:tcPr>
            <w:tcW w:w="12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联系电话：</w:t>
            </w:r>
          </w:p>
        </w:tc>
        <w:tc>
          <w:tcPr>
            <w:tcW w:w="223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18899281166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 w:hRule="atLeast"/>
        </w:trPr>
        <w:tc>
          <w:tcPr>
            <w:tcW w:w="19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年度绩效目标</w:t>
            </w:r>
          </w:p>
        </w:tc>
        <w:tc>
          <w:tcPr>
            <w:tcW w:w="6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保障在职人员工资、社保、住房公积金</w:t>
            </w:r>
            <w:r>
              <w:rPr>
                <w:rFonts w:hint="eastAsia" w:ascii="宋体" w:hAnsi="宋体" w:cs="宋体"/>
                <w:i w:val="0"/>
                <w:color w:val="000000"/>
                <w:kern w:val="0"/>
                <w:sz w:val="24"/>
                <w:szCs w:val="24"/>
                <w:u w:val="none"/>
                <w:lang w:val="en-US" w:eastAsia="zh-CN" w:bidi="ar"/>
              </w:rPr>
              <w:t>、</w:t>
            </w:r>
            <w:r>
              <w:rPr>
                <w:rFonts w:hint="eastAsia" w:ascii="宋体" w:hAnsi="宋体" w:eastAsia="宋体" w:cs="宋体"/>
                <w:i w:val="0"/>
                <w:color w:val="000000"/>
                <w:kern w:val="0"/>
                <w:sz w:val="24"/>
                <w:szCs w:val="24"/>
                <w:u w:val="none"/>
                <w:lang w:val="en-US" w:eastAsia="zh-CN" w:bidi="ar"/>
              </w:rPr>
              <w:t>福利费，退休人员工资，遗属生活费，丧葬费等，正常发放。保障单位水费，电费，办公费，网络费，差旅费，报刊费，车辆</w:t>
            </w:r>
            <w:r>
              <w:rPr>
                <w:rFonts w:hint="eastAsia" w:ascii="宋体" w:hAnsi="宋体" w:cs="宋体"/>
                <w:i w:val="0"/>
                <w:color w:val="000000"/>
                <w:kern w:val="0"/>
                <w:sz w:val="24"/>
                <w:szCs w:val="24"/>
                <w:u w:val="none"/>
                <w:lang w:val="en-US" w:eastAsia="zh-CN" w:bidi="ar"/>
              </w:rPr>
              <w:t>油费</w:t>
            </w:r>
            <w:r>
              <w:rPr>
                <w:rFonts w:hint="eastAsia" w:ascii="宋体" w:hAnsi="宋体" w:eastAsia="宋体" w:cs="宋体"/>
                <w:i w:val="0"/>
                <w:color w:val="000000"/>
                <w:kern w:val="0"/>
                <w:sz w:val="24"/>
                <w:szCs w:val="24"/>
                <w:u w:val="none"/>
                <w:lang w:val="en-US" w:eastAsia="zh-CN" w:bidi="ar"/>
              </w:rPr>
              <w:t>，维修费，取暖费等公用经费支出，保障单位日常工作正常运行。推动农户增收致富，组织乡政府各类会议次数，保证乡政府正常运转。有效改善人民群众生产生活水平，持续保障村集体正常运转.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 w:hRule="atLeast"/>
        </w:trPr>
        <w:tc>
          <w:tcPr>
            <w:tcW w:w="1949"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年度预算（万元）</w:t>
            </w:r>
          </w:p>
        </w:tc>
        <w:tc>
          <w:tcPr>
            <w:tcW w:w="307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资金来源</w:t>
            </w:r>
          </w:p>
        </w:tc>
        <w:tc>
          <w:tcPr>
            <w:tcW w:w="348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 w:hRule="atLeast"/>
        </w:trPr>
        <w:tc>
          <w:tcPr>
            <w:tcW w:w="194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42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财政资金（万元）</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上级资金</w:t>
            </w:r>
          </w:p>
        </w:tc>
        <w:tc>
          <w:tcPr>
            <w:tcW w:w="348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 w:hRule="atLeast"/>
        </w:trPr>
        <w:tc>
          <w:tcPr>
            <w:tcW w:w="194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42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本级资金</w:t>
            </w:r>
          </w:p>
        </w:tc>
        <w:tc>
          <w:tcPr>
            <w:tcW w:w="348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2432.42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 w:hRule="atLeast"/>
        </w:trPr>
        <w:tc>
          <w:tcPr>
            <w:tcW w:w="194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其他资金（万元）</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其他</w:t>
            </w:r>
          </w:p>
        </w:tc>
        <w:tc>
          <w:tcPr>
            <w:tcW w:w="348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 w:hRule="atLeast"/>
        </w:trPr>
        <w:tc>
          <w:tcPr>
            <w:tcW w:w="19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一级指标</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二级指标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三级指标</w:t>
            </w:r>
          </w:p>
        </w:tc>
        <w:tc>
          <w:tcPr>
            <w:tcW w:w="12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指标值</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指标设定依据</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 w:hRule="atLeast"/>
        </w:trPr>
        <w:tc>
          <w:tcPr>
            <w:tcW w:w="19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履职效能</w:t>
            </w:r>
          </w:p>
        </w:tc>
        <w:tc>
          <w:tcPr>
            <w:tcW w:w="1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开展党员教育培训活动</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&gt;=5次</w:t>
            </w:r>
          </w:p>
        </w:tc>
        <w:tc>
          <w:tcPr>
            <w:tcW w:w="13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2025年度预算批复</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 w:hRule="atLeast"/>
        </w:trPr>
        <w:tc>
          <w:tcPr>
            <w:tcW w:w="19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办结“12345”平台工单</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&gt;=9件</w:t>
            </w:r>
          </w:p>
        </w:tc>
        <w:tc>
          <w:tcPr>
            <w:tcW w:w="13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2025年度预算批复</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 w:hRule="atLeast"/>
        </w:trPr>
        <w:tc>
          <w:tcPr>
            <w:tcW w:w="19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垃圾转运</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&gt;=200吨</w:t>
            </w:r>
          </w:p>
        </w:tc>
        <w:tc>
          <w:tcPr>
            <w:tcW w:w="13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2025年度预算批复</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 w:hRule="atLeast"/>
        </w:trPr>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服务对象满意度</w:t>
            </w:r>
          </w:p>
        </w:tc>
        <w:tc>
          <w:tcPr>
            <w:tcW w:w="1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满意度指标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英也尔乡覆盖群众满意度</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&gt;=96%</w:t>
            </w:r>
          </w:p>
        </w:tc>
        <w:tc>
          <w:tcPr>
            <w:tcW w:w="13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2025年度预算批复</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p>
        </w:tc>
      </w:tr>
    </w:tbl>
    <w:p>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p>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我单位无其他需说明事项。</w:t>
      </w:r>
    </w:p>
    <w:p>
      <w:pPr>
        <w:widowControl/>
        <w:spacing w:line="520" w:lineRule="exact"/>
        <w:jc w:val="left"/>
        <w:rPr>
          <w:rFonts w:ascii="仿宋_GB2312" w:hAnsi="宋体" w:eastAsia="仿宋_GB2312" w:cs="宋体"/>
          <w:kern w:val="0"/>
          <w:sz w:val="32"/>
          <w:szCs w:val="32"/>
        </w:rPr>
      </w:pPr>
    </w:p>
    <w:p>
      <w:pPr>
        <w:widowControl/>
        <w:jc w:val="left"/>
        <w:outlineLvl w:val="1"/>
        <w:rPr>
          <w:rFonts w:ascii="微软雅黑" w:hAnsi="微软雅黑" w:eastAsia="微软雅黑" w:cs="Times New Roman"/>
          <w:b/>
          <w:spacing w:val="40"/>
          <w:sz w:val="28"/>
          <w:szCs w:val="28"/>
        </w:rPr>
        <w:sectPr>
          <w:footerReference r:id="rId9" w:type="default"/>
          <w:pgSz w:w="11906" w:h="16838"/>
          <w:pgMar w:top="1440" w:right="1800" w:bottom="1440" w:left="1800" w:header="851" w:footer="992" w:gutter="0"/>
          <w:cols w:space="425" w:num="1"/>
          <w:docGrid w:type="lines" w:linePitch="312" w:charSpace="0"/>
        </w:sectPr>
      </w:pPr>
    </w:p>
    <w:p>
      <w:pPr>
        <w:widowControl/>
        <w:spacing w:before="217" w:beforeLines="50" w:line="52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第四部分 名词解释</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w:t>
      </w:r>
      <w:r>
        <w:rPr>
          <w:rFonts w:hint="eastAsia" w:ascii="仿宋_GB2312" w:eastAsia="仿宋_GB2312"/>
          <w:sz w:val="32"/>
          <w:szCs w:val="32"/>
          <w:lang w:eastAsia="zh-CN"/>
        </w:rPr>
        <w:t>费等</w:t>
      </w:r>
      <w:r>
        <w:rPr>
          <w:rFonts w:hint="eastAsia" w:ascii="仿宋_GB2312" w:eastAsia="仿宋_GB2312"/>
          <w:sz w:val="32"/>
          <w:szCs w:val="32"/>
        </w:rPr>
        <w:t>）；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widowControl/>
        <w:spacing w:line="520" w:lineRule="exact"/>
        <w:jc w:val="left"/>
        <w:rPr>
          <w:rFonts w:ascii="仿宋_GB2312" w:hAnsi="宋体" w:eastAsia="仿宋_GB2312" w:cs="宋体"/>
          <w:kern w:val="0"/>
          <w:sz w:val="32"/>
          <w:szCs w:val="32"/>
        </w:rPr>
      </w:pPr>
    </w:p>
    <w:p>
      <w:pPr>
        <w:widowControl/>
        <w:spacing w:line="520" w:lineRule="exact"/>
        <w:jc w:val="left"/>
        <w:rPr>
          <w:rFonts w:ascii="仿宋_GB2312" w:hAnsi="宋体" w:eastAsia="仿宋_GB2312" w:cs="宋体"/>
          <w:kern w:val="0"/>
          <w:sz w:val="32"/>
          <w:szCs w:val="32"/>
        </w:rPr>
      </w:pPr>
    </w:p>
    <w:p>
      <w:pPr>
        <w:widowControl/>
        <w:spacing w:line="520" w:lineRule="exact"/>
        <w:jc w:val="left"/>
        <w:rPr>
          <w:rFonts w:ascii="仿宋_GB2312" w:hAnsi="宋体" w:eastAsia="仿宋_GB2312" w:cs="宋体"/>
          <w:kern w:val="0"/>
          <w:sz w:val="32"/>
          <w:szCs w:val="32"/>
        </w:rPr>
      </w:pPr>
    </w:p>
    <w:p>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墨玉县英也尔乡人民政府</w:t>
      </w:r>
    </w:p>
    <w:p>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 xml:space="preserve"> </w:t>
      </w:r>
      <w:r>
        <w:rPr>
          <w:rFonts w:ascii="仿宋_GB2312" w:hAnsi="宋体" w:eastAsia="仿宋_GB2312" w:cs="宋体"/>
          <w:kern w:val="0"/>
          <w:sz w:val="32"/>
          <w:szCs w:val="32"/>
        </w:rPr>
        <w:t>2025年0</w:t>
      </w:r>
      <w:r>
        <w:rPr>
          <w:rFonts w:hint="eastAsia" w:ascii="仿宋_GB2312" w:hAnsi="宋体" w:eastAsia="仿宋_GB2312" w:cs="宋体"/>
          <w:kern w:val="0"/>
          <w:sz w:val="32"/>
          <w:szCs w:val="32"/>
          <w:lang w:val="en-US" w:eastAsia="zh-CN"/>
        </w:rPr>
        <w:t>2</w:t>
      </w:r>
      <w:r>
        <w:rPr>
          <w:rFonts w:ascii="仿宋_GB2312" w:hAnsi="宋体" w:eastAsia="仿宋_GB2312" w:cs="宋体"/>
          <w:kern w:val="0"/>
          <w:sz w:val="32"/>
          <w:szCs w:val="32"/>
        </w:rPr>
        <w:t>月</w:t>
      </w:r>
      <w:r>
        <w:rPr>
          <w:rFonts w:hint="eastAsia" w:ascii="仿宋_GB2312" w:hAnsi="宋体" w:eastAsia="仿宋_GB2312" w:cs="宋体"/>
          <w:kern w:val="0"/>
          <w:sz w:val="32"/>
          <w:szCs w:val="32"/>
          <w:lang w:val="en-US" w:eastAsia="zh-CN"/>
        </w:rPr>
        <w:t>04</w:t>
      </w:r>
      <w:r>
        <w:rPr>
          <w:rFonts w:ascii="仿宋_GB2312" w:hAnsi="宋体" w:eastAsia="仿宋_GB2312" w:cs="宋体"/>
          <w:kern w:val="0"/>
          <w:sz w:val="32"/>
          <w:szCs w:val="32"/>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Yjk4MmI0NTRiMDQzOGY0OWRlYmMyYWI3NmQ4MGEifQ=="/>
  </w:docVars>
  <w:rsids>
    <w:rsidRoot w:val="3DDC7F8B"/>
    <w:rsid w:val="016546CD"/>
    <w:rsid w:val="029434E3"/>
    <w:rsid w:val="03A61308"/>
    <w:rsid w:val="05A351AD"/>
    <w:rsid w:val="0797751B"/>
    <w:rsid w:val="0F9E2315"/>
    <w:rsid w:val="17146D71"/>
    <w:rsid w:val="18F4694E"/>
    <w:rsid w:val="1A26742E"/>
    <w:rsid w:val="1CFF6D16"/>
    <w:rsid w:val="1ED37F8B"/>
    <w:rsid w:val="1FA94501"/>
    <w:rsid w:val="25800CD0"/>
    <w:rsid w:val="33150BE9"/>
    <w:rsid w:val="3BB31EDB"/>
    <w:rsid w:val="3DDC7F8B"/>
    <w:rsid w:val="529C0587"/>
    <w:rsid w:val="569D17FB"/>
    <w:rsid w:val="66E02922"/>
    <w:rsid w:val="67377A9A"/>
    <w:rsid w:val="6A620361"/>
    <w:rsid w:val="7033515A"/>
    <w:rsid w:val="70512559"/>
    <w:rsid w:val="75EC342F"/>
    <w:rsid w:val="79A478E6"/>
    <w:rsid w:val="79C124FE"/>
    <w:rsid w:val="7CDF65FA"/>
    <w:rsid w:val="7CF311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1678</Words>
  <Characters>2223</Characters>
  <Lines>0</Lines>
  <Paragraphs>0</Paragraphs>
  <TotalTime>1</TotalTime>
  <ScaleCrop>false</ScaleCrop>
  <LinksUpToDate>false</LinksUpToDate>
  <CharactersWithSpaces>2291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Lenovo</cp:lastModifiedBy>
  <dcterms:modified xsi:type="dcterms:W3CDTF">2025-07-10T12:00:15Z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05986D8604314DA091175C32B98738F0</vt:lpwstr>
  </property>
  <property fmtid="{D5CDD505-2E9C-101B-9397-08002B2CF9AE}" pid="4" name="KSOTemplateDocerSaveRecord">
    <vt:lpwstr>eyJoZGlkIjoiNmQ3MmI4NTUxOWRlNTQyM2NhMGY0OTUwOGY5MWNhNTEiLCJ1c2VySWQiOiIzOTY0MzM4NzUifQ==</vt:lpwstr>
  </property>
</Properties>
</file>