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r>
        <w:rPr>
          <w:rFonts w:hint="eastAsia" w:ascii="方正小标宋_GBK" w:hAnsi="方正小标宋_GBK" w:eastAsia="方正小标宋_GBK"/>
          <w:sz w:val="44"/>
          <w:szCs w:val="44"/>
          <w:highlight w:val="none"/>
        </w:rPr>
        <w:t>新疆和田地区墨玉县</w:t>
      </w:r>
      <w:r>
        <w:rPr>
          <w:rFonts w:hint="eastAsia" w:ascii="方正小标宋_GBK" w:hAnsi="方正小标宋_GBK" w:eastAsia="方正小标宋_GBK"/>
          <w:sz w:val="44"/>
          <w:szCs w:val="44"/>
          <w:highlight w:val="none"/>
          <w:lang w:val="en-US" w:eastAsia="zh-CN"/>
        </w:rPr>
        <w:t>喀拉喀什镇</w:t>
      </w:r>
      <w:r>
        <w:rPr>
          <w:rFonts w:hint="eastAsia" w:ascii="方正小标宋_GBK" w:hAnsi="方正小标宋_GBK" w:eastAsia="方正小标宋_GBK"/>
          <w:sz w:val="44"/>
          <w:szCs w:val="44"/>
          <w:highlight w:val="none"/>
        </w:rPr>
        <w:t>卫生院2022年度部门决算公开说明</w:t>
      </w:r>
    </w:p>
    <w:p>
      <w:pPr>
        <w:keepNext w:val="0"/>
        <w:keepLines w:val="0"/>
        <w:pageBreakBefore w:val="0"/>
        <w:widowControl w:val="0"/>
        <w:kinsoku/>
        <w:wordWrap/>
        <w:overflowPunct/>
        <w:topLinePunct w:val="0"/>
        <w:autoSpaceDE/>
        <w:autoSpaceDN/>
        <w:adjustRightInd/>
        <w:snapToGrid/>
        <w:spacing w:line="240" w:lineRule="auto"/>
        <w:ind w:left="0" w:leftChars="0"/>
        <w:jc w:val="center"/>
        <w:textAlignment w:val="auto"/>
        <w:rPr>
          <w:rFonts w:hint="eastAsia" w:ascii="仿宋_GB2312" w:hAnsi="仿宋_GB2312" w:eastAsia="仿宋_GB2312" w:cs="仿宋_GB2312"/>
          <w:b w:val="0"/>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kern w:val="0"/>
          <w:sz w:val="36"/>
          <w:szCs w:val="36"/>
          <w:highlight w:val="none"/>
        </w:rPr>
        <w:t>目 录</w:t>
      </w:r>
    </w:p>
    <w:p>
      <w:pPr>
        <w:pStyle w:val="4"/>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_Toc32314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第一部分 单位概况</w:t>
      </w:r>
      <w:r>
        <w:rPr>
          <w:rFonts w:hint="eastAsia" w:ascii="仿宋_GB2312" w:hAnsi="仿宋_GB2312" w:eastAsia="仿宋_GB2312" w:cs="仿宋_GB2312"/>
          <w:b/>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二、机构设置</w:t>
      </w:r>
      <w:r>
        <w:rPr>
          <w:rFonts w:hint="eastAsia" w:ascii="仿宋_GB2312" w:hAnsi="仿宋_GB2312" w:eastAsia="仿宋_GB2312" w:cs="仿宋_GB2312"/>
          <w:kern w:val="0"/>
          <w:sz w:val="32"/>
          <w:szCs w:val="32"/>
          <w:highlight w:val="none"/>
          <w:lang w:eastAsia="zh-CN"/>
        </w:rPr>
        <w:t>及人员</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_Toc29374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第二部分 部门决算情况说明</w:t>
      </w:r>
      <w:r>
        <w:rPr>
          <w:rFonts w:hint="eastAsia" w:ascii="仿宋_GB2312" w:hAnsi="仿宋_GB2312" w:eastAsia="仿宋_GB2312" w:cs="仿宋_GB2312"/>
          <w:b/>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二、</w:t>
      </w:r>
      <w:r>
        <w:rPr>
          <w:rFonts w:hint="eastAsia" w:ascii="仿宋_GB2312" w:hAnsi="仿宋_GB2312" w:eastAsia="仿宋_GB2312" w:cs="仿宋_GB2312"/>
          <w:kern w:val="0"/>
          <w:sz w:val="32"/>
          <w:szCs w:val="32"/>
          <w:highlight w:val="none"/>
        </w:rPr>
        <w:t>收入</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七</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财政拨款</w:t>
      </w:r>
      <w:r>
        <w:rPr>
          <w:rFonts w:hint="eastAsia" w:ascii="仿宋_GB2312" w:hAnsi="仿宋_GB2312" w:eastAsia="仿宋_GB2312" w:cs="仿宋_GB2312"/>
          <w:kern w:val="0"/>
          <w:sz w:val="32"/>
          <w:szCs w:val="32"/>
          <w:highlight w:val="none"/>
        </w:rPr>
        <w:t>“三公”经费支出</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w:t>
      </w:r>
      <w:r>
        <w:rPr>
          <w:rFonts w:hint="eastAsia" w:ascii="仿宋_GB2312" w:hAnsi="仿宋_GB2312" w:eastAsia="仿宋_GB2312" w:cs="仿宋_GB2312"/>
          <w:kern w:val="0"/>
          <w:sz w:val="32"/>
          <w:szCs w:val="32"/>
          <w:highlight w:val="none"/>
        </w:rPr>
        <w:t>、其他重要事项的情况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2"/>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2"/>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2"/>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_Toc3250</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第三部分 专业名词解释</w:t>
      </w:r>
      <w:r>
        <w:rPr>
          <w:rFonts w:hint="eastAsia" w:ascii="仿宋_GB2312" w:hAnsi="仿宋_GB2312" w:eastAsia="仿宋_GB2312" w:cs="仿宋_GB2312"/>
          <w:b/>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_Toc22784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第四部分 部门决算报表（见附表）</w:t>
      </w:r>
      <w:r>
        <w:rPr>
          <w:rFonts w:hint="eastAsia" w:ascii="仿宋_GB2312" w:hAnsi="仿宋_GB2312" w:eastAsia="仿宋_GB2312" w:cs="仿宋_GB2312"/>
          <w:b/>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九、《国有资本经营预算财政拨款收入支出决算表》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24028"/>
      <w:bookmarkStart w:id="1" w:name="_Toc32314"/>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default" w:ascii="黑体" w:hAnsi="黑体" w:eastAsia="黑体" w:cs="宋体"/>
          <w:kern w:val="0"/>
          <w:sz w:val="32"/>
          <w:szCs w:val="32"/>
          <w:highlight w:val="none"/>
        </w:rPr>
      </w:pPr>
      <w:bookmarkStart w:id="2" w:name="_Toc30567"/>
      <w:bookmarkStart w:id="3" w:name="_Toc30738"/>
      <w:r>
        <w:rPr>
          <w:rFonts w:hint="eastAsia" w:ascii="黑体" w:hAnsi="黑体" w:eastAsia="黑体" w:cs="宋体"/>
          <w:kern w:val="0"/>
          <w:sz w:val="32"/>
          <w:szCs w:val="32"/>
          <w:highlight w:val="none"/>
        </w:rPr>
        <w:t>一、主要职能</w:t>
      </w:r>
      <w:bookmarkEnd w:id="2"/>
      <w:bookmarkEnd w:id="3"/>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承担本乡镇农村居民健康档案规范建档指导、管理及服务。2.普及卫生保健常识，在重点人群和重点场所开展健康教育，帮助居民形成有利于维护和增进健康的行为方式；指导开展爱国卫生工作。3.提供并组织实施本乡镇预防接种服务，落实国家免疫规划。4.及时发现、登记并报告本乡镇内发现的传染病病例和疑似病例，参与现场疫情处理。5.开展新生儿访视及儿童保健系统管理，进行体格检查和生长发育监测及评价，开展健康指导。6.开展孕产妇保健系统管理和产后访视，进行一般体格检查及孕期营养、心理等健康指导。7.对本乡镇65岁及以上老年人进行登记管理，进行健康危险因素调查和一般体格检查，开展健康指导。8.对高血压、糖尿病等慢性病高危人群进行指导，对确诊高血压、糖尿病等慢性病病例进行登记管理、定期随访和健康指导。9.对本乡镇重性精神疾病患者进行登记管理、治疗随访和康复指导。10.负责本乡镇内突发公共卫生事件的报告并协助处理。11.做好卫生行政部门规定的其他公共卫生服务。</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 w:name="_Toc31238"/>
      <w:bookmarkStart w:id="5" w:name="_Toc2151"/>
      <w:r>
        <w:rPr>
          <w:rFonts w:hint="eastAsia" w:ascii="黑体" w:hAnsi="黑体" w:eastAsia="黑体" w:cs="宋体"/>
          <w:kern w:val="0"/>
          <w:sz w:val="32"/>
          <w:szCs w:val="32"/>
          <w:highlight w:val="none"/>
        </w:rPr>
        <w:t>二、机构设置</w:t>
      </w:r>
      <w:r>
        <w:rPr>
          <w:rFonts w:hint="eastAsia" w:ascii="黑体" w:hAnsi="黑体" w:eastAsia="黑体" w:cs="宋体"/>
          <w:kern w:val="0"/>
          <w:sz w:val="32"/>
          <w:szCs w:val="32"/>
          <w:highlight w:val="none"/>
          <w:lang w:eastAsia="zh-CN"/>
        </w:rPr>
        <w:t>及</w:t>
      </w:r>
      <w:bookmarkEnd w:id="4"/>
      <w:r>
        <w:rPr>
          <w:rFonts w:hint="eastAsia" w:ascii="黑体" w:hAnsi="黑体" w:eastAsia="黑体" w:cs="宋体"/>
          <w:kern w:val="0"/>
          <w:sz w:val="32"/>
          <w:szCs w:val="32"/>
          <w:highlight w:val="none"/>
          <w:lang w:eastAsia="zh-CN"/>
        </w:rPr>
        <w:t>人员</w:t>
      </w:r>
      <w:r>
        <w:rPr>
          <w:rFonts w:hint="eastAsia" w:ascii="黑体" w:hAnsi="黑体" w:eastAsia="黑体" w:cs="宋体"/>
          <w:kern w:val="0"/>
          <w:sz w:val="32"/>
          <w:szCs w:val="32"/>
          <w:highlight w:val="none"/>
        </w:rPr>
        <w:t>情况</w:t>
      </w:r>
      <w:bookmarkEnd w:id="5"/>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新疆和田地区</w:t>
      </w:r>
      <w:r>
        <w:rPr>
          <w:rFonts w:hint="eastAsia" w:ascii="仿宋_GB2312" w:eastAsia="仿宋_GB2312"/>
          <w:sz w:val="32"/>
          <w:szCs w:val="32"/>
          <w:highlight w:val="none"/>
          <w:lang w:eastAsia="zh-CN"/>
        </w:rPr>
        <w:t>墨玉县喀拉喀什镇卫生院</w:t>
      </w:r>
      <w:r>
        <w:rPr>
          <w:rFonts w:hint="eastAsia" w:ascii="仿宋_GB2312" w:eastAsia="仿宋_GB2312"/>
          <w:sz w:val="32"/>
          <w:szCs w:val="32"/>
          <w:highlight w:val="none"/>
        </w:rPr>
        <w:t>2022年度，实有人数</w:t>
      </w:r>
      <w:r>
        <w:rPr>
          <w:rFonts w:hint="eastAsia" w:ascii="仿宋_GB2312" w:eastAsia="仿宋_GB2312"/>
          <w:sz w:val="32"/>
          <w:szCs w:val="32"/>
          <w:highlight w:val="none"/>
          <w:lang w:val="en-US" w:eastAsia="zh-CN"/>
        </w:rPr>
        <w:t>72</w:t>
      </w:r>
      <w:r>
        <w:rPr>
          <w:rFonts w:hint="eastAsia" w:ascii="仿宋_GB2312" w:eastAsia="仿宋_GB2312"/>
          <w:sz w:val="32"/>
          <w:szCs w:val="32"/>
          <w:highlight w:val="none"/>
        </w:rPr>
        <w:t>人，其中：在职人员</w:t>
      </w:r>
      <w:r>
        <w:rPr>
          <w:rFonts w:hint="eastAsia" w:ascii="仿宋_GB2312" w:eastAsia="仿宋_GB2312"/>
          <w:sz w:val="32"/>
          <w:szCs w:val="32"/>
          <w:highlight w:val="none"/>
          <w:lang w:val="en-US" w:eastAsia="zh-CN"/>
        </w:rPr>
        <w:t>60</w:t>
      </w:r>
      <w:r>
        <w:rPr>
          <w:rFonts w:hint="eastAsia" w:ascii="仿宋_GB2312" w:eastAsia="仿宋_GB2312"/>
          <w:sz w:val="32"/>
          <w:szCs w:val="32"/>
          <w:highlight w:val="none"/>
        </w:rPr>
        <w:t>人，离休人员0人，退休人员</w:t>
      </w:r>
      <w:r>
        <w:rPr>
          <w:rFonts w:hint="eastAsia" w:ascii="仿宋_GB2312" w:eastAsia="仿宋_GB2312"/>
          <w:sz w:val="32"/>
          <w:szCs w:val="32"/>
          <w:highlight w:val="none"/>
          <w:lang w:val="en-US" w:eastAsia="zh-CN"/>
        </w:rPr>
        <w:t>12</w:t>
      </w:r>
      <w:r>
        <w:rPr>
          <w:rFonts w:hint="eastAsia" w:ascii="仿宋_GB2312" w:eastAsia="仿宋_GB2312"/>
          <w:sz w:val="32"/>
          <w:szCs w:val="32"/>
          <w:highlight w:val="none"/>
        </w:rPr>
        <w:t>人。</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从部门决算单位构成看，新疆和田地区墨玉县喀拉喀什镇卫生院部门决算包括：新疆和田地区墨玉县喀拉喀什镇卫生院决算。单位无下属预算单位，下设1个处室，分别是：行政办公室。</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6" w:name="_Toc3092"/>
      <w:bookmarkStart w:id="7" w:name="_Toc29374"/>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8" w:name="_Toc12566"/>
      <w:bookmarkStart w:id="9" w:name="_Toc25314"/>
      <w:r>
        <w:rPr>
          <w:rFonts w:hint="eastAsia" w:ascii="黑体" w:hAnsi="黑体" w:eastAsia="黑体" w:cs="宋体"/>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收入总计</w:t>
      </w:r>
      <w:r>
        <w:rPr>
          <w:rFonts w:hint="eastAsia" w:ascii="仿宋_GB2312" w:eastAsia="仿宋_GB2312"/>
          <w:sz w:val="32"/>
          <w:szCs w:val="32"/>
          <w:highlight w:val="none"/>
          <w:lang w:val="en-US" w:eastAsia="zh-CN"/>
        </w:rPr>
        <w:t>2,488.81</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，其中：本年收入合计</w:t>
      </w:r>
      <w:r>
        <w:rPr>
          <w:rFonts w:hint="eastAsia" w:ascii="仿宋_GB2312" w:eastAsia="仿宋_GB2312"/>
          <w:sz w:val="32"/>
          <w:szCs w:val="32"/>
          <w:highlight w:val="none"/>
          <w:lang w:val="en-US" w:eastAsia="zh-CN"/>
        </w:rPr>
        <w:t>2129.32</w:t>
      </w:r>
      <w:r>
        <w:rPr>
          <w:rFonts w:hint="eastAsia" w:ascii="仿宋_GB2312" w:eastAsia="仿宋_GB2312"/>
          <w:sz w:val="32"/>
          <w:szCs w:val="32"/>
          <w:highlight w:val="none"/>
          <w:lang w:eastAsia="zh-CN"/>
        </w:rPr>
        <w:t>万元，使用非财政拨款结余359.49万元，年初结转和结余</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lang w:eastAsia="zh-CN"/>
        </w:rPr>
        <w:t>万元。</w:t>
      </w:r>
      <w:r>
        <w:rPr>
          <w:rFonts w:hint="eastAsia" w:ascii="仿宋_GB2312" w:eastAsia="仿宋_GB2312"/>
          <w:sz w:val="32"/>
          <w:szCs w:val="32"/>
          <w:highlight w:val="none"/>
        </w:rPr>
        <w:t>收入总计与上年相比</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增加</w:t>
      </w:r>
      <w:r>
        <w:rPr>
          <w:rFonts w:hint="eastAsia" w:ascii="仿宋_GB2312" w:eastAsia="仿宋_GB2312"/>
          <w:sz w:val="32"/>
          <w:szCs w:val="32"/>
          <w:highlight w:val="none"/>
          <w:lang w:val="en-US" w:eastAsia="zh-CN"/>
        </w:rPr>
        <w:t>808.92</w:t>
      </w:r>
      <w:r>
        <w:rPr>
          <w:rFonts w:hint="eastAsia" w:ascii="仿宋_GB2312" w:eastAsia="仿宋_GB2312"/>
          <w:sz w:val="32"/>
          <w:szCs w:val="32"/>
          <w:highlight w:val="none"/>
        </w:rPr>
        <w:t>万元，增</w:t>
      </w:r>
      <w:r>
        <w:rPr>
          <w:rFonts w:hint="eastAsia" w:ascii="仿宋_GB2312" w:eastAsia="仿宋_GB2312"/>
          <w:sz w:val="32"/>
          <w:szCs w:val="32"/>
          <w:highlight w:val="none"/>
          <w:lang w:val="en-US" w:eastAsia="zh-CN"/>
        </w:rPr>
        <w:t>48.15</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医疗收入增加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本年支出总计</w:t>
      </w:r>
      <w:r>
        <w:rPr>
          <w:rFonts w:hint="eastAsia" w:ascii="仿宋_GB2312" w:eastAsia="仿宋_GB2312"/>
          <w:spacing w:val="0"/>
          <w:sz w:val="32"/>
          <w:szCs w:val="32"/>
          <w:highlight w:val="none"/>
          <w:lang w:val="en-US" w:eastAsia="zh-CN"/>
        </w:rPr>
        <w:t>2488.81</w:t>
      </w:r>
      <w:r>
        <w:rPr>
          <w:rFonts w:hint="eastAsia" w:ascii="仿宋_GB2312" w:eastAsia="仿宋_GB2312"/>
          <w:spacing w:val="0"/>
          <w:sz w:val="32"/>
          <w:szCs w:val="32"/>
          <w:highlight w:val="none"/>
        </w:rPr>
        <w:t>万元</w:t>
      </w:r>
      <w:r>
        <w:rPr>
          <w:rFonts w:hint="eastAsia" w:ascii="仿宋_GB2312" w:eastAsia="仿宋_GB2312"/>
          <w:sz w:val="32"/>
          <w:szCs w:val="32"/>
          <w:highlight w:val="none"/>
          <w:lang w:eastAsia="zh-CN"/>
        </w:rPr>
        <w:t>，其中：本年支出合计</w:t>
      </w:r>
      <w:r>
        <w:rPr>
          <w:rFonts w:hint="eastAsia" w:ascii="仿宋_GB2312" w:eastAsia="仿宋_GB2312"/>
          <w:sz w:val="32"/>
          <w:szCs w:val="32"/>
          <w:highlight w:val="none"/>
          <w:lang w:val="en-US" w:eastAsia="zh-CN"/>
        </w:rPr>
        <w:t>2488.81</w:t>
      </w:r>
      <w:r>
        <w:rPr>
          <w:rFonts w:hint="eastAsia" w:ascii="仿宋_GB2312" w:eastAsia="仿宋_GB2312"/>
          <w:sz w:val="32"/>
          <w:szCs w:val="32"/>
          <w:highlight w:val="none"/>
          <w:lang w:eastAsia="zh-CN"/>
        </w:rPr>
        <w:t>万元，年末结转和结余</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lang w:eastAsia="zh-CN"/>
        </w:rPr>
        <w:t>万元。</w:t>
      </w:r>
      <w:r>
        <w:rPr>
          <w:rFonts w:hint="eastAsia" w:ascii="仿宋_GB2312" w:eastAsia="仿宋_GB2312"/>
          <w:sz w:val="32"/>
          <w:szCs w:val="32"/>
          <w:highlight w:val="none"/>
        </w:rPr>
        <w:t>支出总计与上年相比</w:t>
      </w:r>
      <w:r>
        <w:rPr>
          <w:rFonts w:hint="eastAsia" w:ascii="仿宋_GB2312" w:eastAsia="仿宋_GB2312"/>
          <w:sz w:val="32"/>
          <w:szCs w:val="32"/>
          <w:highlight w:val="none"/>
          <w:lang w:eastAsia="zh-CN"/>
        </w:rPr>
        <w:t>，增加</w:t>
      </w:r>
      <w:r>
        <w:rPr>
          <w:rFonts w:hint="eastAsia" w:ascii="仿宋_GB2312" w:eastAsia="仿宋_GB2312"/>
          <w:sz w:val="32"/>
          <w:szCs w:val="32"/>
          <w:highlight w:val="none"/>
          <w:lang w:val="en-US" w:eastAsia="zh-CN"/>
        </w:rPr>
        <w:t>808.92</w:t>
      </w:r>
      <w:r>
        <w:rPr>
          <w:rFonts w:hint="eastAsia" w:ascii="仿宋_GB2312" w:eastAsia="仿宋_GB2312"/>
          <w:sz w:val="32"/>
          <w:szCs w:val="32"/>
          <w:highlight w:val="none"/>
          <w:lang w:eastAsia="zh-CN"/>
        </w:rPr>
        <w:t>万元，增长</w:t>
      </w:r>
      <w:r>
        <w:rPr>
          <w:rFonts w:hint="eastAsia" w:ascii="仿宋_GB2312" w:eastAsia="仿宋_GB2312"/>
          <w:sz w:val="32"/>
          <w:szCs w:val="32"/>
          <w:highlight w:val="none"/>
          <w:lang w:val="en-US" w:eastAsia="zh-CN"/>
        </w:rPr>
        <w:t>48.15</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医疗收入增加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10" w:name="_Toc12142"/>
      <w:bookmarkStart w:id="11" w:name="_Toc1979"/>
      <w:r>
        <w:rPr>
          <w:rFonts w:hint="eastAsia" w:ascii="黑体" w:hAnsi="黑体" w:eastAsia="黑体" w:cs="宋体"/>
          <w:kern w:val="0"/>
          <w:sz w:val="32"/>
          <w:szCs w:val="32"/>
          <w:highlight w:val="none"/>
          <w:lang w:eastAsia="zh-CN"/>
        </w:rPr>
        <w:t>二、</w:t>
      </w:r>
      <w:r>
        <w:rPr>
          <w:rFonts w:hint="eastAsia" w:ascii="黑体" w:hAnsi="黑体" w:eastAsia="黑体" w:cs="宋体"/>
          <w:kern w:val="0"/>
          <w:sz w:val="32"/>
          <w:szCs w:val="32"/>
          <w:highlight w:val="none"/>
        </w:rPr>
        <w:t>收入</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w:t>
      </w:r>
      <w:r>
        <w:rPr>
          <w:rFonts w:hint="eastAsia" w:ascii="仿宋_GB2312" w:eastAsia="仿宋_GB2312"/>
          <w:sz w:val="32"/>
          <w:szCs w:val="32"/>
          <w:highlight w:val="none"/>
          <w:lang w:val="en-US" w:eastAsia="zh-CN"/>
        </w:rPr>
        <w:t>2129.32</w:t>
      </w:r>
      <w:r>
        <w:rPr>
          <w:rFonts w:hint="eastAsia" w:ascii="仿宋_GB2312" w:eastAsia="仿宋_GB2312"/>
          <w:sz w:val="32"/>
          <w:szCs w:val="32"/>
          <w:highlight w:val="none"/>
        </w:rPr>
        <w:t>万元，其中：财政拨款收入</w:t>
      </w:r>
      <w:r>
        <w:rPr>
          <w:rFonts w:hint="eastAsia" w:ascii="仿宋_GB2312" w:eastAsia="仿宋_GB2312"/>
          <w:sz w:val="32"/>
          <w:szCs w:val="32"/>
          <w:highlight w:val="none"/>
          <w:lang w:val="en-US" w:eastAsia="zh-CN"/>
        </w:rPr>
        <w:t>1533.97</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72.04</w:t>
      </w:r>
      <w:r>
        <w:rPr>
          <w:rFonts w:hint="eastAsia" w:ascii="仿宋_GB2312" w:eastAsia="仿宋_GB2312"/>
          <w:sz w:val="32"/>
          <w:szCs w:val="32"/>
          <w:highlight w:val="none"/>
        </w:rPr>
        <w:t>%；上级补助收入0.00万元，占0.00%；事业收入</w:t>
      </w:r>
      <w:r>
        <w:rPr>
          <w:rFonts w:hint="eastAsia" w:ascii="仿宋_GB2312" w:eastAsia="仿宋_GB2312"/>
          <w:sz w:val="32"/>
          <w:szCs w:val="32"/>
          <w:highlight w:val="none"/>
          <w:lang w:val="en-US" w:eastAsia="zh-CN"/>
        </w:rPr>
        <w:t>336.44</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15.8</w:t>
      </w:r>
      <w:r>
        <w:rPr>
          <w:rFonts w:hint="eastAsia" w:ascii="仿宋_GB2312" w:eastAsia="仿宋_GB2312"/>
          <w:sz w:val="32"/>
          <w:szCs w:val="32"/>
          <w:highlight w:val="none"/>
        </w:rPr>
        <w:t>%；经营收入0.00万元，占0.00%；附属单位上缴收入0.00万元，占0.00%；其他收入</w:t>
      </w:r>
      <w:r>
        <w:rPr>
          <w:rFonts w:hint="eastAsia" w:ascii="仿宋_GB2312" w:eastAsia="仿宋_GB2312"/>
          <w:sz w:val="32"/>
          <w:szCs w:val="32"/>
          <w:highlight w:val="none"/>
          <w:lang w:val="en-US" w:eastAsia="zh-CN"/>
        </w:rPr>
        <w:t>258.91</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12.16</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2" w:name="_Toc27961"/>
      <w:bookmarkStart w:id="13" w:name="_Toc13201"/>
      <w:r>
        <w:rPr>
          <w:rFonts w:hint="eastAsia" w:ascii="黑体" w:hAnsi="黑体" w:eastAsia="黑体" w:cs="宋体"/>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本年支出</w:t>
      </w:r>
      <w:r>
        <w:rPr>
          <w:rFonts w:hint="eastAsia" w:ascii="仿宋_GB2312" w:eastAsia="仿宋_GB2312"/>
          <w:sz w:val="32"/>
          <w:szCs w:val="32"/>
          <w:highlight w:val="none"/>
          <w:lang w:val="en-US" w:eastAsia="zh-CN"/>
        </w:rPr>
        <w:t>2488.81</w:t>
      </w:r>
      <w:r>
        <w:rPr>
          <w:rFonts w:hint="eastAsia" w:ascii="仿宋_GB2312" w:eastAsia="仿宋_GB2312"/>
          <w:sz w:val="32"/>
          <w:szCs w:val="32"/>
          <w:highlight w:val="none"/>
        </w:rPr>
        <w:t>万元，其中：基本支出</w:t>
      </w:r>
      <w:r>
        <w:rPr>
          <w:rFonts w:hint="eastAsia" w:ascii="仿宋_GB2312" w:eastAsia="仿宋_GB2312"/>
          <w:sz w:val="32"/>
          <w:szCs w:val="32"/>
          <w:highlight w:val="none"/>
          <w:lang w:val="en-US" w:eastAsia="zh-CN"/>
        </w:rPr>
        <w:t>1884.56</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75.72</w:t>
      </w:r>
      <w:r>
        <w:rPr>
          <w:rFonts w:hint="eastAsia" w:ascii="仿宋_GB2312" w:eastAsia="仿宋_GB2312"/>
          <w:sz w:val="32"/>
          <w:szCs w:val="32"/>
          <w:highlight w:val="none"/>
        </w:rPr>
        <w:t>%；项目支出</w:t>
      </w:r>
      <w:r>
        <w:rPr>
          <w:rFonts w:hint="eastAsia" w:ascii="仿宋_GB2312" w:eastAsia="仿宋_GB2312"/>
          <w:sz w:val="32"/>
          <w:szCs w:val="32"/>
          <w:highlight w:val="none"/>
          <w:lang w:val="en-US" w:eastAsia="zh-CN"/>
        </w:rPr>
        <w:t>604.24</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24.28</w:t>
      </w:r>
      <w:r>
        <w:rPr>
          <w:rFonts w:hint="eastAsia" w:ascii="仿宋_GB2312" w:eastAsia="仿宋_GB2312"/>
          <w:sz w:val="32"/>
          <w:szCs w:val="32"/>
          <w:highlight w:val="none"/>
        </w:rPr>
        <w:t>%；上缴上级支出0.00万元，占0.00%；经营支出0.00万元，占0.00%；对附属单位补助支出0.00万元，占0.00%。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4" w:name="_Toc4393"/>
      <w:bookmarkStart w:id="15" w:name="_Toc26564"/>
      <w:r>
        <w:rPr>
          <w:rFonts w:hint="eastAsia" w:ascii="黑体" w:hAnsi="黑体" w:eastAsia="黑体" w:cs="宋体"/>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财政拨款收入总计</w:t>
      </w:r>
      <w:r>
        <w:rPr>
          <w:rFonts w:hint="eastAsia" w:ascii="仿宋_GB2312" w:eastAsia="仿宋_GB2312"/>
          <w:sz w:val="32"/>
          <w:szCs w:val="32"/>
          <w:highlight w:val="none"/>
          <w:lang w:val="en-US" w:eastAsia="zh-CN"/>
        </w:rPr>
        <w:t>1533.97</w:t>
      </w:r>
      <w:r>
        <w:rPr>
          <w:rFonts w:hint="eastAsia" w:ascii="仿宋_GB2312" w:eastAsia="仿宋_GB2312"/>
          <w:sz w:val="32"/>
          <w:szCs w:val="32"/>
          <w:highlight w:val="none"/>
        </w:rPr>
        <w:t>万元，其中：年初财政拨款结转和结余0.00万元，财政拨款本年收入</w:t>
      </w:r>
      <w:r>
        <w:rPr>
          <w:rFonts w:hint="eastAsia" w:ascii="仿宋_GB2312" w:eastAsia="仿宋_GB2312"/>
          <w:sz w:val="32"/>
          <w:szCs w:val="32"/>
          <w:highlight w:val="none"/>
          <w:lang w:val="en-US" w:eastAsia="zh-CN"/>
        </w:rPr>
        <w:t>1533.97</w:t>
      </w:r>
      <w:r>
        <w:rPr>
          <w:rFonts w:hint="eastAsia" w:ascii="仿宋_GB2312" w:eastAsia="仿宋_GB2312"/>
          <w:sz w:val="32"/>
          <w:szCs w:val="32"/>
          <w:highlight w:val="none"/>
        </w:rPr>
        <w:t>万元。财政拨款收入总计与上年相比，增加</w:t>
      </w:r>
      <w:r>
        <w:rPr>
          <w:rFonts w:hint="eastAsia" w:ascii="仿宋_GB2312" w:eastAsia="仿宋_GB2312"/>
          <w:sz w:val="32"/>
          <w:szCs w:val="32"/>
          <w:highlight w:val="none"/>
          <w:lang w:val="en-US" w:eastAsia="zh-CN"/>
        </w:rPr>
        <w:t>151.06</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增长10.92</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上级下达基本公共卫生补助资金增加。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财政拨款支出总计</w:t>
      </w:r>
      <w:r>
        <w:rPr>
          <w:rFonts w:hint="eastAsia" w:ascii="仿宋_GB2312" w:eastAsia="仿宋_GB2312"/>
          <w:sz w:val="32"/>
          <w:szCs w:val="32"/>
          <w:highlight w:val="none"/>
          <w:lang w:val="en-US" w:eastAsia="zh-CN"/>
        </w:rPr>
        <w:t>1533.97</w:t>
      </w:r>
      <w:r>
        <w:rPr>
          <w:rFonts w:hint="eastAsia" w:ascii="仿宋_GB2312" w:eastAsia="仿宋_GB2312"/>
          <w:sz w:val="32"/>
          <w:szCs w:val="32"/>
          <w:highlight w:val="none"/>
        </w:rPr>
        <w:t>万元，其中：年末财政拨款结转和结余0.00万元，财政拨款本年支出</w:t>
      </w:r>
      <w:r>
        <w:rPr>
          <w:rFonts w:hint="eastAsia" w:ascii="仿宋_GB2312" w:eastAsia="仿宋_GB2312"/>
          <w:sz w:val="32"/>
          <w:szCs w:val="32"/>
          <w:highlight w:val="none"/>
          <w:lang w:val="en-US" w:eastAsia="zh-CN"/>
        </w:rPr>
        <w:t>1533.97</w:t>
      </w:r>
      <w:r>
        <w:rPr>
          <w:rFonts w:hint="eastAsia" w:ascii="仿宋_GB2312" w:eastAsia="仿宋_GB2312"/>
          <w:sz w:val="32"/>
          <w:szCs w:val="32"/>
          <w:highlight w:val="none"/>
        </w:rPr>
        <w:t>万元。财政拨款支出总计与上年相比，增加</w:t>
      </w:r>
      <w:r>
        <w:rPr>
          <w:rFonts w:hint="eastAsia" w:ascii="仿宋_GB2312" w:eastAsia="仿宋_GB2312"/>
          <w:sz w:val="32"/>
          <w:szCs w:val="32"/>
          <w:highlight w:val="none"/>
          <w:lang w:val="en-US" w:eastAsia="zh-CN"/>
        </w:rPr>
        <w:t>151.06</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增长10.92</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上级下达基本公共卫生补助资金增加。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与年初预算数相比情况：财政拨款收入总计年初预算数</w:t>
      </w:r>
      <w:r>
        <w:rPr>
          <w:rFonts w:hint="eastAsia" w:ascii="仿宋_GB2312" w:eastAsia="仿宋_GB2312"/>
          <w:sz w:val="32"/>
          <w:szCs w:val="32"/>
          <w:highlight w:val="none"/>
          <w:lang w:val="en-US" w:eastAsia="zh-CN"/>
        </w:rPr>
        <w:t>2750.25</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1533.97</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44.22</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本年度受疫情影响，部分业务未开展，业务经费支出减少</w:t>
      </w:r>
      <w:r>
        <w:rPr>
          <w:rFonts w:hint="eastAsia" w:ascii="仿宋_GB2312" w:eastAsia="仿宋_GB2312"/>
          <w:sz w:val="32"/>
          <w:szCs w:val="32"/>
          <w:highlight w:val="none"/>
        </w:rPr>
        <w:t>。财政拨款支出总计年初预算数</w:t>
      </w:r>
      <w:r>
        <w:rPr>
          <w:rFonts w:hint="eastAsia" w:ascii="仿宋_GB2312" w:eastAsia="仿宋_GB2312"/>
          <w:sz w:val="32"/>
          <w:szCs w:val="32"/>
          <w:highlight w:val="none"/>
          <w:lang w:val="en-US" w:eastAsia="zh-CN"/>
        </w:rPr>
        <w:t>2750.25</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1533.97</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44.22</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本年度受疫情影响，部分业务未开展，业务经费支出减少。</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6" w:name="_Toc13833"/>
      <w:bookmarkStart w:id="17" w:name="_Toc20360"/>
      <w:r>
        <w:rPr>
          <w:rFonts w:hint="eastAsia" w:ascii="黑体" w:hAnsi="黑体" w:eastAsia="黑体" w:cs="宋体"/>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（一）一般公共预算财政拨款支出决算总体情况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w:t>
      </w:r>
      <w:r>
        <w:rPr>
          <w:rFonts w:hint="eastAsia" w:ascii="仿宋_GB2312" w:eastAsia="仿宋_GB2312"/>
          <w:sz w:val="32"/>
          <w:szCs w:val="32"/>
          <w:highlight w:val="none"/>
          <w:lang w:val="en-US" w:eastAsia="zh-CN"/>
        </w:rPr>
        <w:t>1533.97</w:t>
      </w:r>
      <w:r>
        <w:rPr>
          <w:rFonts w:hint="eastAsia" w:ascii="仿宋_GB2312" w:eastAsia="仿宋_GB2312"/>
          <w:sz w:val="32"/>
          <w:szCs w:val="32"/>
          <w:highlight w:val="none"/>
        </w:rPr>
        <w:t>万元，占本年支出合计的</w:t>
      </w:r>
      <w:r>
        <w:rPr>
          <w:rFonts w:hint="eastAsia" w:ascii="仿宋_GB2312" w:eastAsia="仿宋_GB2312"/>
          <w:sz w:val="32"/>
          <w:szCs w:val="32"/>
          <w:highlight w:val="none"/>
          <w:lang w:val="en-US" w:eastAsia="zh-CN"/>
        </w:rPr>
        <w:t>61.63</w:t>
      </w:r>
      <w:r>
        <w:rPr>
          <w:rFonts w:hint="eastAsia" w:ascii="仿宋_GB2312" w:eastAsia="仿宋_GB2312"/>
          <w:sz w:val="32"/>
          <w:szCs w:val="32"/>
          <w:highlight w:val="none"/>
        </w:rPr>
        <w:t>%，与上年相比，增加</w:t>
      </w:r>
      <w:r>
        <w:rPr>
          <w:rFonts w:hint="eastAsia" w:ascii="仿宋_GB2312" w:eastAsia="仿宋_GB2312"/>
          <w:sz w:val="32"/>
          <w:szCs w:val="32"/>
          <w:highlight w:val="none"/>
          <w:lang w:val="en-US" w:eastAsia="zh-CN"/>
        </w:rPr>
        <w:t>345.05</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增长29.02</w:t>
      </w:r>
      <w:r>
        <w:rPr>
          <w:rFonts w:hint="eastAsia" w:ascii="仿宋_GB2312" w:eastAsia="仿宋_GB2312"/>
          <w:sz w:val="32"/>
          <w:szCs w:val="32"/>
          <w:highlight w:val="none"/>
        </w:rPr>
        <w:t>%，主要原因是：上级下达基本公共卫生补助资金增加。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（二）一般公共预算财政拨款支出决算结构情况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1.社会保障和就业支出（类）76.08万元，占4.96%。</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2.卫生健康支出（类）1457.87万元，占95.04%。</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（三）一般公共预算财政拨款支出决算具体情况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社会保障和就业支出（类）行政事业单位养老支出（款）机关事业单位基本养老保险缴费支出（项）：支出决算数为76.08万元，比上年决算减少8.92万元，下降10.49%，主要原因是：合同变更部分人员变更为临时聘用人员，养老保险支出下降。</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2.卫生健康支出（类）基层医疗卫生机构（款）乡镇卫生院（项）：支出决算数为880.83万元，比上年决算增加155.78万元，增长21.49%，主要原因是：防疫物资投入加大。</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color w:val="auto"/>
          <w:sz w:val="32"/>
          <w:szCs w:val="32"/>
          <w:highlight w:val="none"/>
          <w:lang w:val="en-US" w:eastAsia="zh-CN"/>
        </w:rPr>
        <w:t>3.卫生健康支出（类）基层医疗卫生机构（款）其他基层医疗卫生机构支出（项）：支出决算数为31.86</w:t>
      </w:r>
      <w:r>
        <w:rPr>
          <w:rFonts w:hint="eastAsia" w:ascii="仿宋_GB2312" w:eastAsia="仿宋_GB2312"/>
          <w:sz w:val="32"/>
          <w:szCs w:val="32"/>
          <w:highlight w:val="none"/>
          <w:lang w:val="en-US" w:eastAsia="zh-CN"/>
        </w:rPr>
        <w:t>万元，比上年决算减少29.55万元，下降48.12%，主要原因是：本年度国家基本药物补助资金减少。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4.卫生健康支出（类）公共卫生（款）基本公共卫生服务（项）：支出决算数为242.85万元，比上年决算减少0.13万元，下降0.05%，主要原因是：上级下达专项减少。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5.卫生健康支出（类）公共卫生（款）其他公共卫生支出（项）：支出决算数为302.34万元，比上年决算增加237.29万元，增长364.78%，主要原因是：本年度全民体检补助资金较上年有所增加。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6.卫生健康支出（类）公共卫生（款）重大公共卫生服务（项）：支出决算数为0万元，比上年决算减少0.5万元，下降100%，主要原因是：本年度无重大公共卫生服务补助资金支出。</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7.卫生健康支出（类）公共卫生（款）其他卫生健康支出（项）：支出决算数为0万元，比上年决算减少8.92万元，下降100%，主要原因是：本年度无医疗能力提升补助资金支出</w:t>
      </w:r>
      <w:bookmarkStart w:id="54" w:name="_GoBack"/>
      <w:bookmarkEnd w:id="54"/>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8" w:name="_Toc11146"/>
      <w:bookmarkStart w:id="19" w:name="_Toc30870"/>
      <w:r>
        <w:rPr>
          <w:rFonts w:hint="eastAsia" w:ascii="黑体" w:hAnsi="黑体" w:eastAsia="黑体" w:cs="宋体"/>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2022年度一般公共预算财政拨款基本支出</w:t>
      </w:r>
      <w:r>
        <w:rPr>
          <w:rFonts w:hint="eastAsia" w:ascii="仿宋_GB2312" w:eastAsia="仿宋_GB2312"/>
          <w:sz w:val="32"/>
          <w:szCs w:val="32"/>
          <w:highlight w:val="none"/>
          <w:lang w:val="en-US" w:eastAsia="zh-CN"/>
        </w:rPr>
        <w:t>918.10</w:t>
      </w:r>
      <w:r>
        <w:rPr>
          <w:rFonts w:hint="eastAsia" w:ascii="仿宋_GB2312" w:eastAsia="仿宋_GB2312"/>
          <w:sz w:val="32"/>
          <w:szCs w:val="32"/>
          <w:highlight w:val="none"/>
        </w:rPr>
        <w:t>万元，其中：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w:t>
      </w:r>
      <w:r>
        <w:rPr>
          <w:rFonts w:hint="eastAsia" w:ascii="仿宋_GB2312" w:eastAsia="仿宋_GB2312"/>
          <w:sz w:val="32"/>
          <w:szCs w:val="32"/>
          <w:highlight w:val="none"/>
          <w:lang w:val="en-US" w:eastAsia="zh-CN"/>
        </w:rPr>
        <w:t>918.10</w:t>
      </w:r>
      <w:r>
        <w:rPr>
          <w:rFonts w:hint="eastAsia" w:ascii="仿宋_GB2312" w:eastAsia="仿宋_GB2312"/>
          <w:sz w:val="32"/>
          <w:szCs w:val="32"/>
          <w:highlight w:val="none"/>
        </w:rPr>
        <w:t>万元，包括：基本工资、津贴补贴、奖金、机关事业单位基本养老保险缴费、职业年金缴费、职工基本医疗保险缴费、其他社会保障缴费、住房公积金、退休费。</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公用经费0.00万元。</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0" w:name="_Toc21518"/>
      <w:bookmarkStart w:id="21" w:name="_Toc7190"/>
      <w:r>
        <w:rPr>
          <w:rFonts w:hint="eastAsia" w:ascii="黑体" w:hAnsi="黑体" w:eastAsia="黑体" w:cs="宋体"/>
          <w:kern w:val="0"/>
          <w:sz w:val="32"/>
          <w:szCs w:val="32"/>
          <w:highlight w:val="none"/>
          <w:lang w:eastAsia="zh-CN"/>
        </w:rPr>
        <w:t>七</w:t>
      </w:r>
      <w:r>
        <w:rPr>
          <w:rFonts w:hint="eastAsia" w:ascii="黑体" w:hAnsi="黑体" w:eastAsia="黑体" w:cs="宋体"/>
          <w:kern w:val="0"/>
          <w:sz w:val="32"/>
          <w:szCs w:val="32"/>
          <w:highlight w:val="none"/>
        </w:rPr>
        <w:t>、</w:t>
      </w:r>
      <w:r>
        <w:rPr>
          <w:rFonts w:hint="eastAsia" w:ascii="黑体" w:hAnsi="黑体" w:eastAsia="黑体" w:cs="宋体"/>
          <w:kern w:val="0"/>
          <w:sz w:val="32"/>
          <w:szCs w:val="32"/>
          <w:highlight w:val="none"/>
          <w:lang w:eastAsia="zh-CN"/>
        </w:rPr>
        <w:t>财政拨款</w:t>
      </w:r>
      <w:r>
        <w:rPr>
          <w:rFonts w:hint="eastAsia" w:ascii="黑体" w:hAnsi="黑体" w:eastAsia="黑体" w:cs="宋体"/>
          <w:kern w:val="0"/>
          <w:sz w:val="32"/>
          <w:szCs w:val="32"/>
          <w:highlight w:val="none"/>
        </w:rPr>
        <w:t>“三公”经费支出</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w:t>
      </w:r>
      <w:r>
        <w:rPr>
          <w:rFonts w:hint="eastAsia" w:ascii="黑体" w:hAnsi="黑体" w:eastAsia="黑体" w:cs="宋体"/>
          <w:kern w:val="0"/>
          <w:sz w:val="32"/>
          <w:szCs w:val="32"/>
          <w:highlight w:val="none"/>
          <w:lang w:eastAsia="zh-CN"/>
        </w:rPr>
        <w:t>说明</w:t>
      </w:r>
      <w:bookmarkEnd w:id="20"/>
      <w:bookmarkEnd w:id="2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财政拨款“三公”经费支出决算</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万元，比上年减少</w:t>
      </w:r>
      <w:r>
        <w:rPr>
          <w:rFonts w:hint="eastAsia" w:ascii="仿宋_GB2312" w:eastAsia="仿宋_GB2312"/>
          <w:sz w:val="32"/>
          <w:szCs w:val="32"/>
          <w:highlight w:val="none"/>
          <w:lang w:val="en-US" w:eastAsia="zh-CN"/>
        </w:rPr>
        <w:t>1.5</w:t>
      </w:r>
      <w:r>
        <w:rPr>
          <w:rFonts w:hint="eastAsia" w:ascii="仿宋_GB2312" w:eastAsia="仿宋_GB2312"/>
          <w:sz w:val="32"/>
          <w:szCs w:val="32"/>
          <w:highlight w:val="none"/>
        </w:rPr>
        <w:t>万元，下降</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%，主要原因是：本年度无三公经费支出。其中：因公出国（境）费支出0.00万元，占0.00%，比上年增加0.00万元，增长0.00%，主要原因是：我单位无因公出国（境）费支出；公务用车购置及运行维护费支出</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%，比上年减少</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万元，下降</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%，主要原因是：</w:t>
      </w:r>
      <w:r>
        <w:rPr>
          <w:rFonts w:hint="eastAsia" w:ascii="仿宋_GB2312" w:eastAsia="仿宋_GB2312"/>
          <w:sz w:val="32"/>
          <w:szCs w:val="32"/>
          <w:highlight w:val="none"/>
          <w:lang w:val="en-US" w:eastAsia="zh-CN"/>
        </w:rPr>
        <w:t>我单位无</w:t>
      </w:r>
      <w:r>
        <w:rPr>
          <w:rFonts w:hint="eastAsia" w:ascii="仿宋_GB2312" w:eastAsia="仿宋_GB2312"/>
          <w:sz w:val="32"/>
          <w:szCs w:val="32"/>
          <w:highlight w:val="none"/>
        </w:rPr>
        <w:t>公务用车购置及运行维护费支出；公务接待费支出0.00万元，占0.00%，比上年增加0.00万元，增长0.00%，主要原因是：我单位无公务接待费支出。具体情况如下：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万元，其中：公务用车购置费0.00万元，公务用车运行维护费</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万元。公务用车运行维护费开支内容</w:t>
      </w:r>
      <w:r>
        <w:rPr>
          <w:rFonts w:hint="eastAsia" w:ascii="仿宋_GB2312" w:eastAsia="仿宋_GB2312"/>
          <w:sz w:val="32"/>
          <w:szCs w:val="32"/>
          <w:highlight w:val="none"/>
          <w:lang w:val="en-US" w:eastAsia="zh-CN"/>
        </w:rPr>
        <w:t>我单位无公务用车运行维护费支出</w:t>
      </w:r>
      <w:r>
        <w:rPr>
          <w:rFonts w:hint="eastAsia" w:ascii="仿宋_GB2312" w:eastAsia="仿宋_GB2312"/>
          <w:sz w:val="32"/>
          <w:szCs w:val="32"/>
          <w:highlight w:val="none"/>
        </w:rPr>
        <w:t>。公务用车购置数0辆，公务用车保有量</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公务接待费0.00万元，开支内容包括我单位无公务接待费。单位全年安排的国内公务接待0批次，0人次。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与全年预算数相比情况：“三公”经费支出全年预算数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万元，预决算差异率0.00%，主要原因是：“三公”经费支出预算数和决算数无变化，预决算无差异。</w:t>
      </w:r>
      <w:r>
        <w:rPr>
          <w:rFonts w:hint="eastAsia" w:ascii="仿宋_GB2312" w:eastAsia="仿宋_GB2312"/>
          <w:sz w:val="32"/>
          <w:szCs w:val="32"/>
          <w:highlight w:val="none"/>
          <w:lang w:eastAsia="zh-CN"/>
        </w:rPr>
        <w:t>其中：因公出国（境）费全年预算数0.00万元，决算数0.00万元，预决算差异率0.00%，主要原因是：我单位未安排因公出国（境）费，预决算无差异；</w:t>
      </w:r>
      <w:r>
        <w:rPr>
          <w:rFonts w:hint="eastAsia" w:ascii="仿宋_GB2312" w:eastAsia="仿宋_GB2312"/>
          <w:sz w:val="32"/>
          <w:szCs w:val="32"/>
          <w:highlight w:val="none"/>
        </w:rPr>
        <w:t>公务用车购置费全年预算数0.00万元，决算数0.00万元，预决算差异率0.00%，主要原因是：我单位未安排公务用车购置费，预决算无差异；</w:t>
      </w:r>
      <w:r>
        <w:rPr>
          <w:rFonts w:hint="eastAsia" w:ascii="仿宋_GB2312" w:hAnsi="宋体" w:eastAsia="仿宋_GB2312" w:cs="宋体"/>
          <w:kern w:val="0"/>
          <w:sz w:val="32"/>
          <w:szCs w:val="32"/>
          <w:highlight w:val="none"/>
        </w:rPr>
        <w:t>公务用车运行费全年预算数</w:t>
      </w:r>
      <w:r>
        <w:rPr>
          <w:rFonts w:hint="eastAsia" w:ascii="仿宋_GB2312" w:hAnsi="宋体" w:eastAsia="仿宋_GB2312" w:cs="宋体"/>
          <w:kern w:val="0"/>
          <w:sz w:val="32"/>
          <w:szCs w:val="32"/>
          <w:highlight w:val="none"/>
          <w:lang w:val="en-US" w:eastAsia="zh-CN"/>
        </w:rPr>
        <w:t>0.00</w:t>
      </w:r>
      <w:r>
        <w:rPr>
          <w:rFonts w:hint="eastAsia" w:ascii="仿宋_GB2312" w:hAnsi="宋体" w:eastAsia="仿宋_GB2312" w:cs="宋体"/>
          <w:kern w:val="0"/>
          <w:sz w:val="32"/>
          <w:szCs w:val="32"/>
          <w:highlight w:val="none"/>
        </w:rPr>
        <w:t>万元，决算数</w:t>
      </w:r>
      <w:r>
        <w:rPr>
          <w:rFonts w:hint="eastAsia" w:ascii="仿宋_GB2312" w:hAnsi="宋体" w:eastAsia="仿宋_GB2312" w:cs="宋体"/>
          <w:kern w:val="0"/>
          <w:sz w:val="32"/>
          <w:szCs w:val="32"/>
          <w:highlight w:val="none"/>
          <w:lang w:val="en-US" w:eastAsia="zh-CN"/>
        </w:rPr>
        <w:t>0.00</w:t>
      </w:r>
      <w:r>
        <w:rPr>
          <w:rFonts w:hint="eastAsia" w:ascii="仿宋_GB2312" w:hAnsi="宋体" w:eastAsia="仿宋_GB2312" w:cs="宋体"/>
          <w:kern w:val="0"/>
          <w:sz w:val="32"/>
          <w:szCs w:val="32"/>
          <w:highlight w:val="none"/>
        </w:rPr>
        <w:t>万元，预决算差异率0.00%，主要原因是：公务用车运行费预算数和决算数无变化，预决算无差异；</w:t>
      </w:r>
      <w:r>
        <w:rPr>
          <w:rFonts w:hint="eastAsia" w:ascii="仿宋_GB2312" w:eastAsia="仿宋_GB2312"/>
          <w:sz w:val="32"/>
          <w:szCs w:val="32"/>
          <w:highlight w:val="none"/>
        </w:rPr>
        <w:t>公务接待费全年预算数0.00万元，决算数0.00万元，预决算差异率0.00%，主要原因是：我单位未安排公务接待费，预决算无差异。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2" w:name="_Toc5810"/>
      <w:bookmarkStart w:id="23" w:name="_Toc7927"/>
      <w:r>
        <w:rPr>
          <w:rFonts w:hint="eastAsia" w:ascii="黑体" w:hAnsi="黑体" w:eastAsia="黑体" w:cs="宋体"/>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numPr>
          <w:ilvl w:val="0"/>
          <w:numId w:val="0"/>
        </w:numPr>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我单位本年度无政府性基金预算财政拨款收入、支出及结转和结余，</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九、国有资本经营预算财政拨款收入支出决算情况说明</w:t>
      </w:r>
    </w:p>
    <w:p>
      <w:pPr>
        <w:keepNext w:val="0"/>
        <w:keepLines w:val="0"/>
        <w:pageBreakBefore w:val="0"/>
        <w:widowControl w:val="0"/>
        <w:numPr>
          <w:ilvl w:val="0"/>
          <w:numId w:val="0"/>
        </w:numPr>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我单位本年度无国有资本经营预算财政拨款收入、支出及结转和结余，</w:t>
      </w:r>
      <w:r>
        <w:rPr>
          <w:rFonts w:hint="eastAsia" w:ascii="仿宋_GB2312" w:eastAsia="仿宋_GB2312"/>
          <w:sz w:val="32"/>
          <w:szCs w:val="32"/>
          <w:highlight w:val="none"/>
        </w:rPr>
        <w:t>国有资本经营预算财政拨款收入支出决算表为空表。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4" w:name="_Toc1235"/>
      <w:bookmarkStart w:id="25" w:name="_Toc7314"/>
      <w:r>
        <w:rPr>
          <w:rFonts w:hint="eastAsia" w:ascii="黑体" w:hAnsi="黑体" w:eastAsia="黑体" w:cs="宋体"/>
          <w:kern w:val="0"/>
          <w:sz w:val="32"/>
          <w:szCs w:val="32"/>
          <w:highlight w:val="none"/>
          <w:lang w:eastAsia="zh-CN"/>
        </w:rPr>
        <w:t>十</w:t>
      </w:r>
      <w:r>
        <w:rPr>
          <w:rFonts w:hint="eastAsia" w:ascii="黑体" w:hAnsi="黑体" w:eastAsia="黑体" w:cs="宋体"/>
          <w:kern w:val="0"/>
          <w:sz w:val="32"/>
          <w:szCs w:val="32"/>
          <w:highlight w:val="none"/>
        </w:rPr>
        <w:t>、其他重要事项的情况</w:t>
      </w:r>
      <w:r>
        <w:rPr>
          <w:rFonts w:hint="eastAsia" w:ascii="黑体" w:hAnsi="黑体" w:eastAsia="黑体" w:cs="宋体"/>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4519"/>
      <w:bookmarkStart w:id="27"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2022年度新疆和田地区</w:t>
      </w:r>
      <w:r>
        <w:rPr>
          <w:rFonts w:hint="eastAsia" w:ascii="仿宋_GB2312" w:eastAsia="仿宋_GB2312"/>
          <w:sz w:val="32"/>
          <w:szCs w:val="32"/>
          <w:highlight w:val="none"/>
          <w:lang w:eastAsia="zh-CN"/>
        </w:rPr>
        <w:t>墨玉县喀拉喀什镇卫生院</w:t>
      </w:r>
      <w:r>
        <w:rPr>
          <w:rFonts w:hint="eastAsia" w:ascii="仿宋_GB2312" w:eastAsia="仿宋_GB2312"/>
          <w:sz w:val="32"/>
          <w:szCs w:val="32"/>
          <w:highlight w:val="none"/>
        </w:rPr>
        <w:t>（事业单位）公用经费</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万元，比上年</w:t>
      </w:r>
      <w:r>
        <w:rPr>
          <w:rFonts w:hint="eastAsia" w:ascii="仿宋_GB2312" w:eastAsia="仿宋_GB2312"/>
          <w:sz w:val="32"/>
          <w:szCs w:val="32"/>
          <w:highlight w:val="none"/>
          <w:lang w:val="en-US" w:eastAsia="zh-CN"/>
        </w:rPr>
        <w:t>增加0.00</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增长0.00</w:t>
      </w:r>
      <w:r>
        <w:rPr>
          <w:rFonts w:hint="eastAsia" w:ascii="仿宋_GB2312" w:eastAsia="仿宋_GB2312"/>
          <w:sz w:val="32"/>
          <w:szCs w:val="32"/>
          <w:highlight w:val="none"/>
        </w:rPr>
        <w:t>%，主要原因是：</w:t>
      </w:r>
      <w:r>
        <w:rPr>
          <w:rFonts w:hint="eastAsia" w:ascii="仿宋_GB2312" w:eastAsia="仿宋_GB2312"/>
          <w:sz w:val="32"/>
          <w:szCs w:val="32"/>
          <w:highlight w:val="none"/>
          <w:lang w:eastAsia="zh-CN"/>
        </w:rPr>
        <w:t>我单位无</w:t>
      </w:r>
      <w:r>
        <w:rPr>
          <w:rFonts w:hint="eastAsia" w:ascii="仿宋_GB2312" w:eastAsia="仿宋_GB2312"/>
          <w:sz w:val="32"/>
          <w:szCs w:val="32"/>
          <w:highlight w:val="none"/>
          <w:lang w:val="en-US" w:eastAsia="zh-CN"/>
        </w:rPr>
        <w:t>公用</w:t>
      </w:r>
      <w:r>
        <w:rPr>
          <w:rFonts w:hint="eastAsia" w:ascii="仿宋_GB2312" w:eastAsia="仿宋_GB2312"/>
          <w:sz w:val="32"/>
          <w:szCs w:val="32"/>
          <w:highlight w:val="none"/>
          <w:lang w:eastAsia="zh-CN"/>
        </w:rPr>
        <w:t>经费</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27"/>
      <w:bookmarkStart w:id="29" w:name="_Toc26704"/>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eastAsia="zh-CN"/>
        </w:rPr>
        <w:t>0.00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0.00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eastAsia="zh-CN"/>
        </w:rPr>
        <w:t>0.00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0.00</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4591"/>
      <w:bookmarkStart w:id="31" w:name="_Toc8391"/>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截止2022年12月31日，固定资产原值</w:t>
      </w:r>
      <w:r>
        <w:rPr>
          <w:rFonts w:hint="eastAsia" w:ascii="仿宋_GB2312" w:eastAsia="仿宋_GB2312"/>
          <w:sz w:val="32"/>
          <w:szCs w:val="32"/>
          <w:highlight w:val="none"/>
          <w:lang w:val="en-US" w:eastAsia="zh-CN"/>
        </w:rPr>
        <w:t>428.47</w:t>
      </w:r>
      <w:r>
        <w:rPr>
          <w:rFonts w:hint="eastAsia" w:ascii="仿宋_GB2312" w:eastAsia="仿宋_GB2312"/>
          <w:sz w:val="32"/>
          <w:szCs w:val="32"/>
          <w:highlight w:val="none"/>
          <w:lang w:eastAsia="zh-CN"/>
        </w:rPr>
        <w:t>万元，房屋</w:t>
      </w:r>
      <w:r>
        <w:rPr>
          <w:rFonts w:hint="eastAsia" w:ascii="仿宋_GB2312" w:eastAsia="仿宋_GB2312"/>
          <w:sz w:val="32"/>
          <w:szCs w:val="32"/>
          <w:highlight w:val="none"/>
          <w:lang w:val="en-US" w:eastAsia="zh-CN"/>
        </w:rPr>
        <w:t>4675.97</w:t>
      </w:r>
      <w:r>
        <w:rPr>
          <w:rFonts w:hint="eastAsia" w:ascii="仿宋_GB2312" w:eastAsia="仿宋_GB2312"/>
          <w:sz w:val="32"/>
          <w:szCs w:val="32"/>
          <w:highlight w:val="none"/>
          <w:lang w:eastAsia="zh-CN"/>
        </w:rPr>
        <w:t>平方米，价值</w:t>
      </w:r>
      <w:r>
        <w:rPr>
          <w:rFonts w:hint="eastAsia" w:ascii="仿宋_GB2312" w:eastAsia="仿宋_GB2312"/>
          <w:sz w:val="32"/>
          <w:szCs w:val="32"/>
          <w:highlight w:val="none"/>
          <w:lang w:val="en-US" w:eastAsia="zh-CN"/>
        </w:rPr>
        <w:t>201.02</w:t>
      </w:r>
      <w:r>
        <w:rPr>
          <w:rFonts w:hint="eastAsia" w:ascii="仿宋_GB2312" w:eastAsia="仿宋_GB2312"/>
          <w:sz w:val="32"/>
          <w:szCs w:val="32"/>
          <w:highlight w:val="none"/>
          <w:lang w:eastAsia="zh-CN"/>
        </w:rPr>
        <w:t>万元。车辆2辆，价值</w:t>
      </w:r>
      <w:r>
        <w:rPr>
          <w:rFonts w:hint="eastAsia" w:ascii="仿宋_GB2312" w:eastAsia="仿宋_GB2312"/>
          <w:sz w:val="32"/>
          <w:szCs w:val="32"/>
          <w:highlight w:val="none"/>
          <w:lang w:val="en-US" w:eastAsia="zh-CN"/>
        </w:rPr>
        <w:t>43.06</w:t>
      </w:r>
      <w:r>
        <w:rPr>
          <w:rFonts w:hint="eastAsia" w:ascii="仿宋_GB2312" w:eastAsia="仿宋_GB2312"/>
          <w:sz w:val="32"/>
          <w:szCs w:val="32"/>
          <w:highlight w:val="none"/>
          <w:lang w:eastAsia="zh-CN"/>
        </w:rPr>
        <w:t>万元，其中：副部（省）级及以上领导用车0辆、主要领导干部用车0辆、机要通信用车0辆、应急保障用车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lang w:eastAsia="zh-CN"/>
        </w:rPr>
        <w:t>辆、执法执勤用车0辆、特种专业技术用车</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eastAsia="zh-CN"/>
        </w:rPr>
        <w:t>辆、离退休干部用车0辆、其他用车0辆，其他用车主要是：我单位无其他用车；单价100万元（含）以上设备（不含车辆）0台（套）。</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32" w:name="_Toc11283"/>
      <w:bookmarkStart w:id="33" w:name="_Toc435"/>
      <w:r>
        <w:rPr>
          <w:rFonts w:hint="eastAsia" w:ascii="黑体" w:hAnsi="黑体" w:eastAsia="黑体" w:cs="宋体"/>
          <w:kern w:val="0"/>
          <w:sz w:val="32"/>
          <w:szCs w:val="32"/>
          <w:highlight w:val="none"/>
          <w:lang w:eastAsia="zh-CN"/>
        </w:rPr>
        <w:t>十一、预算绩效的情况说明</w:t>
      </w:r>
      <w:bookmarkEnd w:id="32"/>
      <w:bookmarkEnd w:id="3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根据预算绩效管理要求，我单位2022年度开展预算绩效评价项目1个，全年预算数</w:t>
      </w:r>
      <w:r>
        <w:rPr>
          <w:rFonts w:hint="eastAsia" w:ascii="仿宋_GB2312" w:eastAsia="仿宋_GB2312"/>
          <w:sz w:val="32"/>
          <w:szCs w:val="32"/>
          <w:highlight w:val="none"/>
          <w:lang w:val="en-US" w:eastAsia="zh-CN"/>
        </w:rPr>
        <w:t>2750.25</w:t>
      </w:r>
      <w:r>
        <w:rPr>
          <w:rFonts w:hint="eastAsia" w:ascii="仿宋_GB2312" w:eastAsia="仿宋_GB2312"/>
          <w:sz w:val="32"/>
          <w:szCs w:val="32"/>
          <w:highlight w:val="none"/>
          <w:lang w:eastAsia="zh-CN"/>
        </w:rPr>
        <w:t>万元，全年执行数</w:t>
      </w:r>
      <w:r>
        <w:rPr>
          <w:rFonts w:hint="eastAsia" w:ascii="仿宋_GB2312" w:eastAsia="仿宋_GB2312"/>
          <w:sz w:val="32"/>
          <w:szCs w:val="32"/>
          <w:highlight w:val="none"/>
          <w:lang w:val="en-US" w:eastAsia="zh-CN"/>
        </w:rPr>
        <w:t>2488.81</w:t>
      </w:r>
      <w:r>
        <w:rPr>
          <w:rFonts w:hint="eastAsia" w:ascii="仿宋_GB2312" w:eastAsia="仿宋_GB2312"/>
          <w:sz w:val="32"/>
          <w:szCs w:val="32"/>
          <w:highlight w:val="none"/>
          <w:lang w:eastAsia="zh-CN"/>
        </w:rPr>
        <w:t>万元。预算绩效管理取得的成效：一是加强组织领导，切实提高财政预算资金使用效率，促进预算资金执行，确保预算资金合理、高效支出；二是扩大知识涉猎范围，不断吸收新思想、新观念、新精神、新经验、新方法，并结合本职工作、勇于实践、敢于创新，切实形成了属于自身的思维模式、工作经验和群众方法。发现的问题及原因：一是专业人员队伍力量配备不足，多是兼职人员，专业人员严重不足。目标设定科学性及评价存在难度对于目标设定需要分科室部门分解,汇总后制定整体目标，如何科学整合全单位绩效目标比较困难；二是预算绩效管理机制体系不完善，个性指标针对性、科学性、可操作性不强。下一步改进措施：一是积极参加业务培训，提高业务水平和能力，培养一批专业人才队伍。加强制度建设；二是进一步完善预算绩效管理的各项制度，完善预算绩效评价指标库，不断提升预算绩效管理的规范性。具体项目自评情况附项目支出绩效自评表。</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4" w:name="_Toc3250"/>
      <w:bookmarkStart w:id="35" w:name="_Toc24143"/>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机关运行经费：行政单位和参照公务员法管理的事业单位财政拨款基本支出中的公用经费支出。</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6" w:name="_Toc22784"/>
      <w:bookmarkStart w:id="37" w:name="_Toc28903"/>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38" w:name="_Toc6062"/>
      <w:bookmarkStart w:id="39" w:name="_Toc2183"/>
      <w:r>
        <w:rPr>
          <w:rFonts w:hint="eastAsia" w:ascii="黑体" w:hAnsi="黑体" w:eastAsia="黑体" w:cs="宋体"/>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0" w:name="_Toc24532"/>
      <w:bookmarkStart w:id="41" w:name="_Toc30364"/>
      <w:r>
        <w:rPr>
          <w:rFonts w:hint="eastAsia" w:ascii="黑体" w:hAnsi="黑体" w:eastAsia="黑体" w:cs="宋体"/>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2" w:name="_Toc32434"/>
      <w:bookmarkStart w:id="43" w:name="_Toc21304"/>
      <w:r>
        <w:rPr>
          <w:rFonts w:hint="eastAsia" w:ascii="黑体" w:hAnsi="黑体" w:eastAsia="黑体" w:cs="宋体"/>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4" w:name="_Toc28786"/>
      <w:bookmarkStart w:id="45" w:name="_Toc14238"/>
      <w:r>
        <w:rPr>
          <w:rFonts w:hint="eastAsia" w:ascii="黑体" w:hAnsi="黑体" w:eastAsia="黑体" w:cs="宋体"/>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6" w:name="_Toc10347"/>
      <w:bookmarkStart w:id="47" w:name="_Toc14869"/>
      <w:r>
        <w:rPr>
          <w:rFonts w:hint="eastAsia" w:ascii="黑体" w:hAnsi="黑体" w:eastAsia="黑体" w:cs="宋体"/>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8" w:name="_Toc5626"/>
      <w:bookmarkStart w:id="49" w:name="_Toc8884"/>
      <w:r>
        <w:rPr>
          <w:rFonts w:hint="eastAsia" w:ascii="黑体" w:hAnsi="黑体" w:eastAsia="黑体" w:cs="宋体"/>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50" w:name="_Toc32663"/>
      <w:bookmarkStart w:id="51" w:name="_Toc29106"/>
      <w:r>
        <w:rPr>
          <w:rFonts w:hint="eastAsia" w:ascii="黑体" w:hAnsi="黑体" w:eastAsia="黑体" w:cs="宋体"/>
          <w:kern w:val="0"/>
          <w:sz w:val="32"/>
          <w:szCs w:val="32"/>
          <w:highlight w:val="none"/>
        </w:rPr>
        <w:t>七、《财政拨款“三公”经费支出决算表》</w:t>
      </w:r>
      <w:bookmarkEnd w:id="50"/>
      <w:bookmarkEnd w:id="5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52" w:name="_Toc7643"/>
      <w:bookmarkStart w:id="53" w:name="_Toc5453"/>
      <w:r>
        <w:rPr>
          <w:rFonts w:hint="eastAsia" w:ascii="黑体" w:hAnsi="黑体" w:eastAsia="黑体" w:cs="宋体"/>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rPr>
        <w:t>九、《国有资本经营预算财政拨款收入支出决算表》</w:t>
      </w: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00"/>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153"/>
        <w:tab w:val="right"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Ps5vjrgEAAEsD&#10;AAAOAAAAAAAAAAEAIAAAAB4BAABkcnMvZTJvRG9jLnhtbFBLBQYAAAAABgAGAFkBAAA+BQAAAAA=&#10;">
              <v:fill on="f" focussize="0,0"/>
              <v:stroke on="f"/>
              <v:imagedata o:title=""/>
              <o:lock v:ext="edit" aspectratio="f"/>
              <v:textbox inset="0mm,0mm,0mm,0mm" style="mso-fit-shape-to-text:t;">
                <w:txbxContent>
                  <w:p>
                    <w:pPr>
                      <w:pStyle w:val="3"/>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zMTkxM2YzNTA0ODJjYTJjOTg2YTkyODg4YmQ1MjAifQ=="/>
  </w:docVars>
  <w:rsids>
    <w:rsidRoot w:val="269401AB"/>
    <w:rsid w:val="01BE7323"/>
    <w:rsid w:val="023C4E17"/>
    <w:rsid w:val="05B12124"/>
    <w:rsid w:val="070B2504"/>
    <w:rsid w:val="1C450061"/>
    <w:rsid w:val="1F413615"/>
    <w:rsid w:val="22D447A0"/>
    <w:rsid w:val="269401AB"/>
    <w:rsid w:val="2E8452CD"/>
    <w:rsid w:val="3DF8713D"/>
    <w:rsid w:val="3E412892"/>
    <w:rsid w:val="41B810BD"/>
    <w:rsid w:val="4CC61AB2"/>
    <w:rsid w:val="5CC3618E"/>
    <w:rsid w:val="5D6745AC"/>
    <w:rsid w:val="64031557"/>
    <w:rsid w:val="64310D9C"/>
    <w:rsid w:val="64B163BB"/>
    <w:rsid w:val="6A694D9B"/>
    <w:rsid w:val="71C04054"/>
    <w:rsid w:val="77CB6E09"/>
    <w:rsid w:val="789B6A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Times New Roman" w:hAnsi="Times New Roman" w:eastAsia="宋体" w:cs="Times New Roman"/>
      <w:kern w:val="2"/>
      <w:sz w:val="21"/>
      <w:szCs w:val="24"/>
      <w:lang w:val="en-US" w:eastAsia="zh-CN"/>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footer"/>
    <w:basedOn w:val="1"/>
    <w:qFormat/>
    <w:uiPriority w:val="0"/>
    <w:pPr>
      <w:snapToGrid w:val="0"/>
      <w:jc w:val="left"/>
    </w:pPr>
    <w:rPr>
      <w:sz w:val="18"/>
    </w:rPr>
  </w:style>
  <w:style w:type="paragraph" w:styleId="4">
    <w:name w:val="toc 1"/>
    <w:basedOn w:val="1"/>
    <w:next w:val="1"/>
    <w:qFormat/>
    <w:uiPriority w:val="0"/>
  </w:style>
  <w:style w:type="paragraph" w:styleId="5">
    <w:name w:val="toc 2"/>
    <w:basedOn w:val="1"/>
    <w:next w:val="1"/>
    <w:qFormat/>
    <w:uiPriority w:val="0"/>
    <w:pPr>
      <w:ind w:left="420" w:left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2023-10-07T16:13:00Z</dcterms:created>
  <dc:creator>Administrator</dc:creator>
  <cp:lastModifiedBy>Administrator</cp:lastModifiedBy>
  <dcterms:modified xsi:type="dcterms:W3CDTF">2024-01-30T08:49:26Z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4649F7E15C6343538EEA9FB4894926FA_11</vt:lpwstr>
  </property>
</Properties>
</file>